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4535" w14:textId="60975038" w:rsidR="00845B9F" w:rsidRPr="00845B9F" w:rsidRDefault="00845B9F" w:rsidP="00845B9F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Unilateral non-functional adrenal adenoma with imaging features consistent with a benign lesion </w:t>
      </w:r>
    </w:p>
    <w:p w14:paraId="5A86B9AB" w14:textId="693C76BA" w:rsidR="00845B9F" w:rsidRPr="00845B9F" w:rsidRDefault="00845B9F" w:rsidP="00845B9F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Letter to Primary Care Provider </w:t>
      </w:r>
    </w:p>
    <w:p w14:paraId="572F6C5C" w14:textId="515CF404" w:rsidR="00845B9F" w:rsidRPr="00845B9F" w:rsidRDefault="00845B9F" w:rsidP="00845B9F">
      <w:pPr>
        <w:rPr>
          <w:sz w:val="24"/>
          <w:szCs w:val="24"/>
        </w:rPr>
      </w:pPr>
      <w:r>
        <w:rPr>
          <w:sz w:val="24"/>
          <w:szCs w:val="24"/>
        </w:rPr>
        <w:t>_________ is being discharged from the endocrine clinic.</w:t>
      </w:r>
    </w:p>
    <w:p w14:paraId="7C52D934" w14:textId="66D6EFBF" w:rsidR="00845B9F" w:rsidRDefault="00845B9F" w:rsidP="00845B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Rationale for discharge from Endocrine Care:</w:t>
      </w:r>
    </w:p>
    <w:p w14:paraId="35E4CBC2" w14:textId="5EB866E6" w:rsidR="00845B9F" w:rsidRPr="00845B9F" w:rsidRDefault="00845B9F" w:rsidP="00845B9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 has an adrenal lesion with benign imaging findings. Adrenal incidentalomas are common, affecting ~2% of the general population and &gt;7% of those over age 70. Repeat imaging of the adrenal glands at 1 year has shown stability with consistent demonstration of benign features. Biochemical testing has demonstrated no concerns for hormonal hypersecretion in this patient. </w:t>
      </w:r>
    </w:p>
    <w:p w14:paraId="634563EE" w14:textId="635070B3" w:rsidR="00845B9F" w:rsidRDefault="00845B9F" w:rsidP="00845B9F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Summary of key results:</w:t>
      </w:r>
    </w:p>
    <w:p w14:paraId="3B1B0587" w14:textId="2000797E" w:rsidR="00845B9F" w:rsidRDefault="00845B9F" w:rsidP="00845B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Blood work: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2491"/>
        <w:gridCol w:w="2491"/>
        <w:gridCol w:w="2658"/>
      </w:tblGrid>
      <w:tr w:rsidR="00845B9F" w14:paraId="6834C655" w14:textId="77777777" w:rsidTr="00845B9F">
        <w:trPr>
          <w:trHeight w:val="54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FEC07" w14:textId="77777777" w:rsidR="00845B9F" w:rsidRDefault="00845B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E962A" w14:textId="77777777" w:rsidR="00845B9F" w:rsidRDefault="00845B9F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Pheochromocytoma Screening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3D05B" w14:textId="77777777" w:rsidR="00845B9F" w:rsidRDefault="00845B9F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Cushing’s Syndrome Screening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CF9B7" w14:textId="77777777" w:rsidR="00845B9F" w:rsidRDefault="00845B9F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 xml:space="preserve">Hyperaldosteronism Screening </w:t>
            </w:r>
          </w:p>
        </w:tc>
      </w:tr>
      <w:tr w:rsidR="00845B9F" w14:paraId="4632032A" w14:textId="77777777" w:rsidTr="00845B9F">
        <w:trPr>
          <w:trHeight w:val="28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773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82F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202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5E2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</w:tr>
      <w:tr w:rsidR="00845B9F" w14:paraId="07DFE8E5" w14:textId="77777777" w:rsidTr="00845B9F">
        <w:trPr>
          <w:trHeight w:val="28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A0A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4B4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12A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5CE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</w:tr>
      <w:tr w:rsidR="00845B9F" w14:paraId="6A2C9B32" w14:textId="77777777" w:rsidTr="00845B9F">
        <w:trPr>
          <w:trHeight w:val="26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07D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733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68E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D48" w14:textId="77777777" w:rsidR="00845B9F" w:rsidRDefault="00845B9F">
            <w:pPr>
              <w:rPr>
                <w:sz w:val="24"/>
                <w:szCs w:val="24"/>
                <w:lang w:val="en-CA"/>
              </w:rPr>
            </w:pPr>
          </w:p>
        </w:tc>
      </w:tr>
    </w:tbl>
    <w:p w14:paraId="67615F69" w14:textId="77777777" w:rsidR="00845B9F" w:rsidRDefault="00845B9F" w:rsidP="00845B9F">
      <w:pPr>
        <w:rPr>
          <w:b/>
          <w:bCs/>
          <w:sz w:val="24"/>
          <w:szCs w:val="24"/>
        </w:rPr>
      </w:pPr>
    </w:p>
    <w:p w14:paraId="4EB8FFB7" w14:textId="1D962965" w:rsidR="00845B9F" w:rsidRDefault="00845B9F" w:rsidP="00845B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Imaging:</w:t>
      </w:r>
    </w:p>
    <w:p w14:paraId="2A36E307" w14:textId="77777777" w:rsidR="00845B9F" w:rsidRDefault="00845B9F" w:rsidP="00845B9F">
      <w:pPr>
        <w:rPr>
          <w:sz w:val="24"/>
          <w:szCs w:val="24"/>
        </w:rPr>
      </w:pPr>
      <w:r>
        <w:rPr>
          <w:sz w:val="24"/>
          <w:szCs w:val="24"/>
        </w:rPr>
        <w:t>Baseline CT or MRI adrenals (mm/</w:t>
      </w:r>
      <w:proofErr w:type="spellStart"/>
      <w:r>
        <w:rPr>
          <w:sz w:val="24"/>
          <w:szCs w:val="24"/>
        </w:rPr>
        <w:t>yy</w:t>
      </w:r>
      <w:proofErr w:type="spellEnd"/>
      <w:r>
        <w:rPr>
          <w:sz w:val="24"/>
          <w:szCs w:val="24"/>
        </w:rPr>
        <w:t>): _______________________</w:t>
      </w:r>
    </w:p>
    <w:p w14:paraId="04468972" w14:textId="24BED0E6" w:rsidR="00845B9F" w:rsidRPr="00845B9F" w:rsidRDefault="00845B9F" w:rsidP="00845B9F">
      <w:pPr>
        <w:rPr>
          <w:sz w:val="24"/>
          <w:szCs w:val="24"/>
        </w:rPr>
      </w:pPr>
      <w:r>
        <w:rPr>
          <w:sz w:val="24"/>
          <w:szCs w:val="24"/>
        </w:rPr>
        <w:t>Follow-up CT or MRI adrenals at 6-12 months (mm/</w:t>
      </w:r>
      <w:proofErr w:type="spellStart"/>
      <w:r>
        <w:rPr>
          <w:sz w:val="24"/>
          <w:szCs w:val="24"/>
        </w:rPr>
        <w:t>yy</w:t>
      </w:r>
      <w:proofErr w:type="spellEnd"/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</w:t>
      </w:r>
    </w:p>
    <w:p w14:paraId="05821DA7" w14:textId="4760CCCA" w:rsidR="00845B9F" w:rsidRDefault="00845B9F" w:rsidP="00845B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Surveillance:</w:t>
      </w:r>
    </w:p>
    <w:p w14:paraId="158D6448" w14:textId="679D34ED" w:rsidR="00845B9F" w:rsidRPr="00845B9F" w:rsidRDefault="00845B9F" w:rsidP="00845B9F">
      <w:pPr>
        <w:rPr>
          <w:sz w:val="24"/>
          <w:szCs w:val="24"/>
        </w:rPr>
      </w:pPr>
      <w:r>
        <w:rPr>
          <w:sz w:val="24"/>
          <w:szCs w:val="24"/>
        </w:rPr>
        <w:t xml:space="preserve">At this point in time there is no need for routine repeat imaging or hormonal biochemical testing. After an initial normal 1mg dexamethasone suppression test, overt cortisol hypersecretion is very uncommon (&lt; 0.1%); therefore, routine serial screening is not required. Further testing should be carried out if symptoms or signs of cortisol excess (Cushing’s) were to develop.  </w:t>
      </w:r>
    </w:p>
    <w:p w14:paraId="2F40DF3A" w14:textId="77777777" w:rsidR="00845B9F" w:rsidRDefault="00845B9F" w:rsidP="00845B9F">
      <w:pPr>
        <w:rPr>
          <w:sz w:val="24"/>
          <w:szCs w:val="24"/>
          <w:u w:val="single"/>
        </w:rPr>
      </w:pPr>
    </w:p>
    <w:p w14:paraId="7F3A0D0D" w14:textId="77777777" w:rsidR="00845B9F" w:rsidRDefault="00845B9F" w:rsidP="00845B9F">
      <w:pPr>
        <w:rPr>
          <w:sz w:val="24"/>
          <w:szCs w:val="24"/>
          <w:u w:val="single"/>
        </w:rPr>
      </w:pPr>
    </w:p>
    <w:p w14:paraId="1C5E01E9" w14:textId="77777777" w:rsidR="00845B9F" w:rsidRDefault="00845B9F" w:rsidP="00845B9F">
      <w:pPr>
        <w:rPr>
          <w:sz w:val="24"/>
          <w:szCs w:val="24"/>
          <w:u w:val="single"/>
        </w:rPr>
      </w:pPr>
    </w:p>
    <w:p w14:paraId="7B9980AF" w14:textId="77777777" w:rsidR="00845B9F" w:rsidRDefault="00845B9F" w:rsidP="00845B9F">
      <w:pPr>
        <w:rPr>
          <w:sz w:val="24"/>
          <w:szCs w:val="24"/>
          <w:u w:val="single"/>
        </w:rPr>
      </w:pPr>
    </w:p>
    <w:p w14:paraId="5C7A29D9" w14:textId="5D7C10B3" w:rsidR="00845B9F" w:rsidRDefault="00845B9F" w:rsidP="00845B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Criteria for escalation or re-referral:</w:t>
      </w:r>
    </w:p>
    <w:p w14:paraId="55A443AC" w14:textId="77777777" w:rsidR="00845B9F" w:rsidRDefault="00845B9F" w:rsidP="00845B9F">
      <w:pPr>
        <w:rPr>
          <w:sz w:val="24"/>
          <w:szCs w:val="24"/>
        </w:rPr>
      </w:pPr>
      <w:r>
        <w:rPr>
          <w:sz w:val="24"/>
          <w:szCs w:val="24"/>
        </w:rPr>
        <w:t xml:space="preserve">Please refer back to </w:t>
      </w:r>
      <w:proofErr w:type="gramStart"/>
      <w:r>
        <w:rPr>
          <w:sz w:val="24"/>
          <w:szCs w:val="24"/>
        </w:rPr>
        <w:t>myself</w:t>
      </w:r>
      <w:proofErr w:type="gramEnd"/>
      <w:r>
        <w:rPr>
          <w:sz w:val="24"/>
          <w:szCs w:val="24"/>
        </w:rPr>
        <w:t xml:space="preserve"> or another endocrinologist if there is:</w:t>
      </w:r>
    </w:p>
    <w:p w14:paraId="19C4EF29" w14:textId="77777777" w:rsidR="00845B9F" w:rsidRDefault="00845B9F" w:rsidP="00845B9F">
      <w:pPr>
        <w:pStyle w:val="ListParagraph"/>
        <w:widowControl/>
        <w:numPr>
          <w:ilvl w:val="0"/>
          <w:numId w:val="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New or worsening diabetes (especially with rapid progression), resistant hypertension (requiring multiple medications or is difficult to control), fragility fractures/osteoporosis, or unexplained </w:t>
      </w:r>
      <w:proofErr w:type="gramStart"/>
      <w:r>
        <w:rPr>
          <w:sz w:val="24"/>
          <w:szCs w:val="24"/>
        </w:rPr>
        <w:t>hypokalemia</w:t>
      </w:r>
      <w:proofErr w:type="gramEnd"/>
    </w:p>
    <w:p w14:paraId="3317AAEC" w14:textId="77777777" w:rsidR="00845B9F" w:rsidRDefault="00845B9F" w:rsidP="00845B9F">
      <w:pPr>
        <w:pStyle w:val="ListParagraph"/>
        <w:widowControl/>
        <w:numPr>
          <w:ilvl w:val="0"/>
          <w:numId w:val="1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Other clinical concerns for Cushing’s syndrome, hyperaldosteronism, pheochromocytoma, or androgen excess</w:t>
      </w:r>
    </w:p>
    <w:p w14:paraId="31F12F7A" w14:textId="77777777" w:rsidR="00DE328D" w:rsidRDefault="00DE328D"/>
    <w:sectPr w:rsidR="00DE328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3B425A"/>
    <w:rsid w:val="00570057"/>
    <w:rsid w:val="00772510"/>
    <w:rsid w:val="00845B9F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2024-05-08T16:35:00Z</dcterms:created>
  <dcterms:modified xsi:type="dcterms:W3CDTF">2024-05-08T16:35:00Z</dcterms:modified>
</cp:coreProperties>
</file>