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A03CB" w14:textId="323336FF" w:rsidR="004D2363" w:rsidRDefault="004D2363"/>
    <w:p w14:paraId="58038BAD" w14:textId="77777777" w:rsidR="001B3968" w:rsidRDefault="001B3968" w:rsidP="001B3968">
      <w:pPr>
        <w:rPr>
          <w:rFonts w:ascii="Arial" w:hAnsi="Arial" w:cs="Arial"/>
          <w:b/>
          <w:bCs/>
          <w:color w:val="25355A"/>
          <w:sz w:val="52"/>
          <w:szCs w:val="52"/>
        </w:rPr>
      </w:pPr>
    </w:p>
    <w:p w14:paraId="27E87886" w14:textId="77777777" w:rsidR="001B3968" w:rsidRDefault="001B3968" w:rsidP="001B3968">
      <w:pPr>
        <w:rPr>
          <w:rFonts w:ascii="Arial" w:hAnsi="Arial" w:cs="Arial"/>
          <w:b/>
          <w:bCs/>
          <w:color w:val="25355A"/>
          <w:sz w:val="52"/>
          <w:szCs w:val="52"/>
        </w:rPr>
      </w:pPr>
    </w:p>
    <w:p w14:paraId="554A87DA" w14:textId="77777777" w:rsidR="001B3968" w:rsidRDefault="001B3968" w:rsidP="001B3968">
      <w:pPr>
        <w:rPr>
          <w:rFonts w:ascii="Arial" w:hAnsi="Arial" w:cs="Arial"/>
          <w:b/>
          <w:bCs/>
          <w:color w:val="25355A"/>
          <w:sz w:val="52"/>
          <w:szCs w:val="52"/>
        </w:rPr>
      </w:pPr>
    </w:p>
    <w:p w14:paraId="753C1BA4" w14:textId="77777777" w:rsidR="001B3968" w:rsidRDefault="001B3968" w:rsidP="001B3968">
      <w:pPr>
        <w:rPr>
          <w:rFonts w:ascii="Arial" w:hAnsi="Arial" w:cs="Arial"/>
          <w:b/>
          <w:bCs/>
          <w:color w:val="25355A"/>
          <w:sz w:val="52"/>
          <w:szCs w:val="52"/>
        </w:rPr>
      </w:pPr>
    </w:p>
    <w:p w14:paraId="10EE1E93" w14:textId="670D68FD" w:rsidR="001B3968" w:rsidRPr="00F546F3" w:rsidRDefault="001B3968" w:rsidP="001B3968">
      <w:pPr>
        <w:rPr>
          <w:rFonts w:ascii="Arial" w:hAnsi="Arial" w:cs="Arial"/>
          <w:b/>
          <w:bCs/>
          <w:color w:val="25355A"/>
          <w:sz w:val="52"/>
          <w:szCs w:val="52"/>
        </w:rPr>
      </w:pPr>
      <w:r w:rsidRPr="00F546F3">
        <w:rPr>
          <w:rFonts w:ascii="Arial" w:hAnsi="Arial" w:cs="Arial"/>
          <w:b/>
          <w:bCs/>
          <w:color w:val="25355A"/>
          <w:sz w:val="52"/>
          <w:szCs w:val="52"/>
        </w:rPr>
        <w:t xml:space="preserve">Guidelines for </w:t>
      </w:r>
      <w:r>
        <w:rPr>
          <w:rFonts w:ascii="Arial" w:hAnsi="Arial" w:cs="Arial"/>
          <w:b/>
          <w:bCs/>
          <w:color w:val="25355A"/>
          <w:sz w:val="52"/>
          <w:szCs w:val="52"/>
        </w:rPr>
        <w:t>Physicians</w:t>
      </w:r>
      <w:r w:rsidRPr="00F546F3">
        <w:rPr>
          <w:rFonts w:ascii="Arial" w:hAnsi="Arial" w:cs="Arial"/>
          <w:b/>
          <w:bCs/>
          <w:color w:val="25355A"/>
          <w:sz w:val="52"/>
          <w:szCs w:val="52"/>
        </w:rPr>
        <w:t xml:space="preserve"> </w:t>
      </w:r>
    </w:p>
    <w:p w14:paraId="1A17ADFE" w14:textId="77777777" w:rsidR="001B3968" w:rsidRPr="00F546F3" w:rsidRDefault="001B3968" w:rsidP="001B3968">
      <w:pPr>
        <w:rPr>
          <w:rFonts w:ascii="Arial" w:hAnsi="Arial" w:cs="Arial"/>
          <w:b/>
          <w:bCs/>
          <w:color w:val="007FA3"/>
          <w:sz w:val="28"/>
          <w:szCs w:val="28"/>
        </w:rPr>
      </w:pPr>
      <w:r w:rsidRPr="00F546F3">
        <w:rPr>
          <w:rFonts w:ascii="Arial" w:hAnsi="Arial" w:cs="Arial"/>
          <w:b/>
          <w:bCs/>
          <w:color w:val="007FA3"/>
          <w:sz w:val="28"/>
          <w:szCs w:val="28"/>
        </w:rPr>
        <w:t>University of Toronto, Department of Medicine</w:t>
      </w:r>
    </w:p>
    <w:p w14:paraId="197AB2C8" w14:textId="637B8282" w:rsidR="001B3968" w:rsidRDefault="001B3968" w:rsidP="001B3968">
      <w:pPr>
        <w:rPr>
          <w:rFonts w:ascii="Arial" w:hAnsi="Arial" w:cs="Arial"/>
          <w:b/>
          <w:bCs/>
          <w:i/>
          <w:iCs/>
          <w:sz w:val="52"/>
          <w:szCs w:val="52"/>
        </w:rPr>
      </w:pPr>
      <w:r w:rsidRPr="00F546F3">
        <w:rPr>
          <w:rFonts w:ascii="Arial" w:hAnsi="Arial" w:cs="Arial"/>
          <w:b/>
          <w:bCs/>
          <w:color w:val="007FA3"/>
          <w:sz w:val="28"/>
          <w:szCs w:val="28"/>
        </w:rPr>
        <w:t xml:space="preserve">Division: </w:t>
      </w:r>
      <w:r w:rsidR="0094409C">
        <w:rPr>
          <w:rFonts w:ascii="Arial" w:hAnsi="Arial" w:cs="Arial"/>
          <w:b/>
          <w:bCs/>
          <w:i/>
          <w:iCs/>
          <w:sz w:val="28"/>
          <w:szCs w:val="28"/>
        </w:rPr>
        <w:t xml:space="preserve">General Internal Medicine </w:t>
      </w:r>
      <w:r w:rsidRPr="00F546F3">
        <w:rPr>
          <w:rFonts w:ascii="Arial" w:hAnsi="Arial" w:cs="Arial"/>
          <w:b/>
          <w:bCs/>
          <w:i/>
          <w:iCs/>
          <w:sz w:val="52"/>
          <w:szCs w:val="52"/>
        </w:rPr>
        <w:t xml:space="preserve"> </w:t>
      </w:r>
    </w:p>
    <w:p w14:paraId="13295D67" w14:textId="77777777" w:rsidR="001B3968" w:rsidRDefault="001B3968" w:rsidP="001B3968">
      <w:pPr>
        <w:rPr>
          <w:rFonts w:ascii="Arial" w:hAnsi="Arial" w:cs="Arial"/>
          <w:b/>
          <w:bCs/>
          <w:i/>
          <w:iCs/>
          <w:sz w:val="52"/>
          <w:szCs w:val="52"/>
        </w:rPr>
      </w:pPr>
    </w:p>
    <w:p w14:paraId="34F0FB7B" w14:textId="77777777" w:rsidR="001B3968" w:rsidRDefault="001B3968" w:rsidP="001B3968">
      <w:pPr>
        <w:rPr>
          <w:rFonts w:ascii="Arial" w:hAnsi="Arial" w:cs="Arial"/>
          <w:b/>
          <w:bCs/>
          <w:i/>
          <w:iCs/>
          <w:sz w:val="52"/>
          <w:szCs w:val="52"/>
        </w:rPr>
      </w:pPr>
    </w:p>
    <w:p w14:paraId="1BEC66F7" w14:textId="77777777" w:rsidR="001B3968" w:rsidRDefault="001B3968" w:rsidP="001B3968">
      <w:pPr>
        <w:rPr>
          <w:rFonts w:ascii="Arial" w:hAnsi="Arial" w:cs="Arial"/>
          <w:b/>
          <w:bCs/>
          <w:i/>
          <w:iCs/>
          <w:sz w:val="52"/>
          <w:szCs w:val="52"/>
        </w:rPr>
      </w:pPr>
    </w:p>
    <w:p w14:paraId="5736DDEE" w14:textId="77777777" w:rsidR="001B3968" w:rsidRDefault="001B3968" w:rsidP="001B3968">
      <w:pPr>
        <w:rPr>
          <w:rFonts w:ascii="Arial" w:hAnsi="Arial" w:cs="Arial"/>
          <w:b/>
          <w:bCs/>
          <w:i/>
          <w:iCs/>
          <w:sz w:val="52"/>
          <w:szCs w:val="52"/>
        </w:rPr>
      </w:pPr>
    </w:p>
    <w:p w14:paraId="2668BBED" w14:textId="77777777" w:rsidR="00B14B0F" w:rsidRDefault="00B14B0F" w:rsidP="001B3968">
      <w:pPr>
        <w:rPr>
          <w:rFonts w:ascii="Arial" w:hAnsi="Arial" w:cs="Arial"/>
          <w:b/>
          <w:bCs/>
          <w:i/>
          <w:iCs/>
          <w:sz w:val="52"/>
          <w:szCs w:val="52"/>
        </w:rPr>
      </w:pPr>
    </w:p>
    <w:p w14:paraId="1B5EE0A0" w14:textId="0F280545" w:rsidR="001B3968" w:rsidRDefault="00B14B0F" w:rsidP="001B3968">
      <w:pPr>
        <w:rPr>
          <w:rFonts w:ascii="Arial" w:hAnsi="Arial" w:cs="Arial"/>
          <w:sz w:val="28"/>
          <w:szCs w:val="28"/>
        </w:rPr>
      </w:pPr>
      <w:r>
        <w:rPr>
          <w:rFonts w:ascii="Arial" w:hAnsi="Arial" w:cs="Arial"/>
          <w:sz w:val="28"/>
          <w:szCs w:val="28"/>
        </w:rPr>
        <w:t xml:space="preserve"> </w:t>
      </w:r>
    </w:p>
    <w:p w14:paraId="7581DD46" w14:textId="088190C6" w:rsidR="001B3968" w:rsidRDefault="001B3968" w:rsidP="001B3968">
      <w:pPr>
        <w:rPr>
          <w:rFonts w:ascii="Arial" w:hAnsi="Arial" w:cs="Arial"/>
          <w:b/>
          <w:bCs/>
          <w:color w:val="25355A"/>
        </w:rPr>
      </w:pPr>
    </w:p>
    <w:p w14:paraId="6D9BADC1" w14:textId="77777777" w:rsidR="006063E9" w:rsidRDefault="006063E9" w:rsidP="001B3968">
      <w:pPr>
        <w:rPr>
          <w:rFonts w:ascii="Arial" w:hAnsi="Arial" w:cs="Arial"/>
          <w:b/>
          <w:bCs/>
          <w:color w:val="25355A"/>
        </w:rPr>
      </w:pPr>
    </w:p>
    <w:p w14:paraId="62C248D1" w14:textId="77777777" w:rsidR="007700A0" w:rsidRDefault="007700A0" w:rsidP="001B3968">
      <w:pPr>
        <w:rPr>
          <w:rFonts w:ascii="Arial" w:hAnsi="Arial" w:cs="Arial"/>
          <w:b/>
          <w:bCs/>
          <w:color w:val="25355A"/>
        </w:rPr>
      </w:pPr>
    </w:p>
    <w:p w14:paraId="09DFE345" w14:textId="77777777" w:rsidR="0094409C" w:rsidRDefault="0094409C">
      <w:pPr>
        <w:rPr>
          <w:rFonts w:ascii="Arial" w:hAnsi="Arial" w:cs="Arial"/>
          <w:b/>
          <w:bCs/>
          <w:color w:val="25355A"/>
        </w:rPr>
      </w:pPr>
      <w:r>
        <w:rPr>
          <w:rFonts w:ascii="Arial" w:hAnsi="Arial" w:cs="Arial"/>
          <w:b/>
          <w:bCs/>
          <w:color w:val="25355A"/>
        </w:rPr>
        <w:br w:type="page"/>
      </w:r>
    </w:p>
    <w:p w14:paraId="2B8DD0B1" w14:textId="77777777" w:rsidR="0067195A" w:rsidRDefault="0067195A" w:rsidP="001B3968">
      <w:pPr>
        <w:rPr>
          <w:rFonts w:ascii="Arial" w:hAnsi="Arial" w:cs="Arial"/>
          <w:b/>
          <w:bCs/>
          <w:color w:val="25355A"/>
        </w:rPr>
      </w:pPr>
    </w:p>
    <w:p w14:paraId="3E334892" w14:textId="0277B726" w:rsidR="001B3968" w:rsidRDefault="0067195A" w:rsidP="001B3968">
      <w:pPr>
        <w:rPr>
          <w:rFonts w:ascii="Arial" w:hAnsi="Arial" w:cs="Arial"/>
          <w:b/>
          <w:bCs/>
          <w:color w:val="25355A"/>
        </w:rPr>
      </w:pPr>
      <w:r>
        <w:rPr>
          <w:rFonts w:ascii="Arial" w:hAnsi="Arial" w:cs="Arial"/>
          <w:b/>
          <w:bCs/>
          <w:color w:val="25355A"/>
        </w:rPr>
        <w:t xml:space="preserve">GENERAL </w:t>
      </w:r>
      <w:r w:rsidRPr="00724060">
        <w:rPr>
          <w:rFonts w:ascii="Arial" w:hAnsi="Arial" w:cs="Arial"/>
          <w:b/>
          <w:bCs/>
          <w:color w:val="25355A"/>
        </w:rPr>
        <w:t>OVERVIEW</w:t>
      </w:r>
    </w:p>
    <w:p w14:paraId="6A8FDA09" w14:textId="6EAF6B9D" w:rsidR="0094409C" w:rsidRDefault="0094409C" w:rsidP="0094409C">
      <w:pPr>
        <w:pStyle w:val="Default"/>
        <w:rPr>
          <w:rFonts w:ascii="Arial" w:hAnsi="Arial" w:cs="Arial"/>
          <w:sz w:val="22"/>
          <w:szCs w:val="22"/>
        </w:rPr>
      </w:pPr>
      <w:bookmarkStart w:id="0" w:name="_Hlk110859330"/>
      <w:r w:rsidRPr="0094409C">
        <w:rPr>
          <w:rFonts w:ascii="Arial" w:hAnsi="Arial" w:cs="Arial"/>
          <w:color w:val="000000" w:themeColor="text1"/>
          <w:sz w:val="22"/>
          <w:szCs w:val="22"/>
        </w:rPr>
        <w:t>Clinical teaching units (CTUs)</w:t>
      </w:r>
      <w:r w:rsidR="001B3968" w:rsidRPr="0094409C">
        <w:rPr>
          <w:rFonts w:ascii="Arial" w:hAnsi="Arial" w:cs="Arial"/>
          <w:color w:val="000000" w:themeColor="text1"/>
          <w:sz w:val="22"/>
          <w:szCs w:val="22"/>
        </w:rPr>
        <w:t xml:space="preserve"> form a cornerstone of medical student and </w:t>
      </w:r>
      <w:r w:rsidR="006063E9" w:rsidRPr="0094409C">
        <w:rPr>
          <w:rFonts w:ascii="Arial" w:hAnsi="Arial" w:cs="Arial"/>
          <w:color w:val="000000" w:themeColor="text1"/>
          <w:sz w:val="22"/>
          <w:szCs w:val="22"/>
        </w:rPr>
        <w:t>trainee</w:t>
      </w:r>
      <w:r w:rsidR="001B3968" w:rsidRPr="0094409C">
        <w:rPr>
          <w:rFonts w:ascii="Arial" w:hAnsi="Arial" w:cs="Arial"/>
          <w:color w:val="000000" w:themeColor="text1"/>
          <w:sz w:val="22"/>
          <w:szCs w:val="22"/>
        </w:rPr>
        <w:t xml:space="preserve"> education in </w:t>
      </w:r>
      <w:r w:rsidRPr="0094409C">
        <w:rPr>
          <w:rFonts w:ascii="Arial" w:hAnsi="Arial" w:cs="Arial"/>
          <w:color w:val="000000" w:themeColor="text1"/>
          <w:sz w:val="22"/>
          <w:szCs w:val="22"/>
        </w:rPr>
        <w:t>General Internal Medicine (GIM)</w:t>
      </w:r>
      <w:r w:rsidR="001B3968" w:rsidRPr="0094409C">
        <w:rPr>
          <w:rFonts w:ascii="Arial" w:hAnsi="Arial" w:cs="Arial"/>
          <w:color w:val="000000" w:themeColor="text1"/>
          <w:sz w:val="22"/>
          <w:szCs w:val="22"/>
        </w:rPr>
        <w:t xml:space="preserve">. Junior residents in the early years of practice routinely describe their </w:t>
      </w:r>
      <w:r w:rsidRPr="0094409C">
        <w:rPr>
          <w:rFonts w:ascii="Arial" w:hAnsi="Arial" w:cs="Arial"/>
          <w:color w:val="000000" w:themeColor="text1"/>
          <w:sz w:val="22"/>
          <w:szCs w:val="22"/>
        </w:rPr>
        <w:t>CTU experience</w:t>
      </w:r>
      <w:r w:rsidR="001B3968" w:rsidRPr="0094409C">
        <w:rPr>
          <w:rFonts w:ascii="Arial" w:hAnsi="Arial" w:cs="Arial"/>
          <w:color w:val="000000" w:themeColor="text1"/>
          <w:sz w:val="22"/>
          <w:szCs w:val="22"/>
        </w:rPr>
        <w:t xml:space="preserve"> as a place where they learn to “be a doctor”. Senior residents describe </w:t>
      </w:r>
      <w:r w:rsidR="006063E9" w:rsidRPr="0094409C">
        <w:rPr>
          <w:rFonts w:ascii="Arial" w:hAnsi="Arial" w:cs="Arial"/>
          <w:color w:val="000000" w:themeColor="text1"/>
          <w:sz w:val="22"/>
          <w:szCs w:val="22"/>
        </w:rPr>
        <w:t>it</w:t>
      </w:r>
      <w:r w:rsidR="001B3968" w:rsidRPr="0094409C">
        <w:rPr>
          <w:rFonts w:ascii="Arial" w:hAnsi="Arial" w:cs="Arial"/>
          <w:color w:val="000000" w:themeColor="text1"/>
          <w:sz w:val="22"/>
          <w:szCs w:val="22"/>
        </w:rPr>
        <w:t xml:space="preserve"> as an ideal learning environment for the integration of all of the </w:t>
      </w:r>
      <w:proofErr w:type="spellStart"/>
      <w:r w:rsidR="001B3968" w:rsidRPr="0094409C">
        <w:rPr>
          <w:rFonts w:ascii="Arial" w:hAnsi="Arial" w:cs="Arial"/>
          <w:color w:val="000000" w:themeColor="text1"/>
          <w:sz w:val="22"/>
          <w:szCs w:val="22"/>
        </w:rPr>
        <w:t>CanMEDS</w:t>
      </w:r>
      <w:proofErr w:type="spellEnd"/>
      <w:r w:rsidR="001B3968" w:rsidRPr="0094409C">
        <w:rPr>
          <w:rFonts w:ascii="Arial" w:hAnsi="Arial" w:cs="Arial"/>
          <w:color w:val="000000" w:themeColor="text1"/>
          <w:sz w:val="22"/>
          <w:szCs w:val="22"/>
        </w:rPr>
        <w:t xml:space="preserve"> competencies into clinical care. </w:t>
      </w:r>
      <w:r w:rsidRPr="0094409C">
        <w:rPr>
          <w:rFonts w:ascii="Arial" w:hAnsi="Arial" w:cs="Arial"/>
          <w:color w:val="000000" w:themeColor="text1"/>
          <w:sz w:val="22"/>
          <w:szCs w:val="22"/>
        </w:rPr>
        <w:t>The CTU is</w:t>
      </w:r>
      <w:r w:rsidR="001B3968" w:rsidRPr="0094409C">
        <w:rPr>
          <w:rFonts w:ascii="Arial" w:hAnsi="Arial" w:cs="Arial"/>
          <w:color w:val="000000" w:themeColor="text1"/>
          <w:sz w:val="22"/>
          <w:szCs w:val="22"/>
        </w:rPr>
        <w:t xml:space="preserve"> also a place where attending physicians work closely with trainees during a relatively intense clinical rotation and consequently have many opportunities to observe their development as clinicians. In order to ensure an ideal learning environment and to foster a consistent and mutual understanding of roles and responsibilitie</w:t>
      </w:r>
      <w:r w:rsidR="006063E9" w:rsidRPr="0094409C">
        <w:rPr>
          <w:rFonts w:ascii="Arial" w:hAnsi="Arial" w:cs="Arial"/>
          <w:color w:val="000000" w:themeColor="text1"/>
          <w:sz w:val="22"/>
          <w:szCs w:val="22"/>
        </w:rPr>
        <w:t>s</w:t>
      </w:r>
      <w:r w:rsidR="001B3968" w:rsidRPr="0094409C">
        <w:rPr>
          <w:rFonts w:ascii="Arial" w:hAnsi="Arial" w:cs="Arial"/>
          <w:color w:val="000000" w:themeColor="text1"/>
          <w:sz w:val="22"/>
          <w:szCs w:val="22"/>
        </w:rPr>
        <w:t xml:space="preserve">, the </w:t>
      </w:r>
      <w:r w:rsidRPr="0094409C">
        <w:rPr>
          <w:rFonts w:ascii="Arial" w:hAnsi="Arial" w:cs="Arial"/>
          <w:color w:val="000000" w:themeColor="text1"/>
          <w:sz w:val="22"/>
          <w:szCs w:val="22"/>
        </w:rPr>
        <w:t>Division of GIM</w:t>
      </w:r>
      <w:r w:rsidR="001B3968" w:rsidRPr="0094409C">
        <w:rPr>
          <w:rFonts w:ascii="Arial" w:hAnsi="Arial" w:cs="Arial"/>
          <w:color w:val="000000" w:themeColor="text1"/>
          <w:sz w:val="22"/>
          <w:szCs w:val="22"/>
        </w:rPr>
        <w:t xml:space="preserve"> at the University of Toronto has articulated job descriptions for both attending physicians and residents. </w:t>
      </w:r>
      <w:bookmarkEnd w:id="0"/>
      <w:r w:rsidRPr="0094409C">
        <w:rPr>
          <w:rFonts w:ascii="Arial" w:hAnsi="Arial" w:cs="Arial"/>
          <w:sz w:val="22"/>
          <w:szCs w:val="22"/>
        </w:rPr>
        <w:t xml:space="preserve">These </w:t>
      </w:r>
      <w:bookmarkStart w:id="1" w:name="_GoBack"/>
      <w:bookmarkEnd w:id="1"/>
      <w:r w:rsidRPr="0094409C">
        <w:rPr>
          <w:rFonts w:ascii="Arial" w:hAnsi="Arial" w:cs="Arial"/>
          <w:sz w:val="22"/>
          <w:szCs w:val="22"/>
        </w:rPr>
        <w:t>documents should be discussed by medical team members at the beginning of each CTU rotation. In so doing, the attending physician can discuss shared expectations with trainees regarding patient care, education and professional behaviour. Broadly, this initial contracting conversation is a chance to speak about: (1</w:t>
      </w:r>
      <w:proofErr w:type="gramStart"/>
      <w:r w:rsidRPr="0094409C">
        <w:rPr>
          <w:rFonts w:ascii="Arial" w:hAnsi="Arial" w:cs="Arial"/>
          <w:sz w:val="22"/>
          <w:szCs w:val="22"/>
        </w:rPr>
        <w:t>)“</w:t>
      </w:r>
      <w:proofErr w:type="gramEnd"/>
      <w:r w:rsidRPr="0094409C">
        <w:rPr>
          <w:rFonts w:ascii="Arial" w:hAnsi="Arial" w:cs="Arial"/>
          <w:sz w:val="22"/>
          <w:szCs w:val="22"/>
        </w:rPr>
        <w:t xml:space="preserve">What can you expect from me?” (2) “What do I expect from you?” (3) “Let’s meet again in _ weeks to exchange feedback”. Another key component of this introductory conversation is to start a dialogue between each trainee and attending physician, and in so doing, to create a learning environment where team members are encouraged to exchange ideas and feedback in a respectful, non-judgmental way. Ideally, this conversation engenders a culture shift similar to the clinical practice changes supported by the movement for Quality and Patient Safety. </w:t>
      </w:r>
    </w:p>
    <w:p w14:paraId="5AC05946" w14:textId="77777777" w:rsidR="0094409C" w:rsidRPr="0094409C" w:rsidRDefault="0094409C" w:rsidP="0094409C">
      <w:pPr>
        <w:pStyle w:val="Default"/>
        <w:rPr>
          <w:rFonts w:ascii="Arial" w:hAnsi="Arial" w:cs="Arial"/>
          <w:sz w:val="22"/>
          <w:szCs w:val="22"/>
        </w:rPr>
      </w:pPr>
    </w:p>
    <w:p w14:paraId="4EFB7078" w14:textId="77777777" w:rsidR="0094409C" w:rsidRDefault="0094409C" w:rsidP="0094409C">
      <w:pPr>
        <w:rPr>
          <w:sz w:val="23"/>
          <w:szCs w:val="23"/>
        </w:rPr>
      </w:pPr>
      <w:r w:rsidRPr="0094409C">
        <w:rPr>
          <w:rFonts w:ascii="Arial" w:hAnsi="Arial" w:cs="Arial"/>
        </w:rPr>
        <w:t>In creating the foregoing roles &amp; responsibilities documents, we are mindful that every attending physician will have an individual “style” and that there may be variations to the CTU daily schedule. Despite this variability, however, we consistently strive to provide outstanding education and patient care. The following principles help to delineate consistent practices on the CTUs across the city. These principles are: (1) the CTU provides safe and effective patient care; (2) the CTU offers a learning environment that optimizes experiential learning i.e. in which learning opportunities are linked to clinical care as much as possible; (3) the daily schedule on the CTU meets the requirements of PARO with respect to duty hour restrictions; (4) the attending physician provides optimal supervision, feedback and support for patient care, and is available to provide direct patient care as needed to mitigate workload rather than being limited to a supervisory role; (5) the attending physician promotes a positive, supportive learning environment for all levels of trainees; (6) all team members and patients on the CTU are treated with fairness, respect and dignity; (7) the attending physician and trainees on the CTU behave with professionalism, “which includes the demonstration of compassion, service, altruism and trustworthiness…in all interactions in the training environment in order to provide the best quality care to patients” (CPSO, 2011). The following detailed document elaborates further on these principles.</w:t>
      </w:r>
      <w:r>
        <w:rPr>
          <w:sz w:val="23"/>
          <w:szCs w:val="23"/>
        </w:rPr>
        <w:t xml:space="preserve"> </w:t>
      </w:r>
    </w:p>
    <w:p w14:paraId="4792FE2E" w14:textId="202DBA5C" w:rsidR="001B3968" w:rsidRDefault="001B3968" w:rsidP="0094409C">
      <w:pPr>
        <w:rPr>
          <w:rFonts w:ascii="Arial" w:hAnsi="Arial" w:cs="Arial"/>
          <w:color w:val="25355A"/>
        </w:rPr>
      </w:pPr>
      <w:r>
        <w:rPr>
          <w:rFonts w:ascii="Arial" w:hAnsi="Arial" w:cs="Arial"/>
          <w:b/>
          <w:bCs/>
          <w:color w:val="25355A"/>
        </w:rPr>
        <w:t>Overall Goal</w:t>
      </w:r>
      <w:r w:rsidR="0094409C">
        <w:rPr>
          <w:rFonts w:ascii="Arial" w:hAnsi="Arial" w:cs="Arial"/>
          <w:b/>
          <w:bCs/>
          <w:color w:val="25355A"/>
        </w:rPr>
        <w:t>s</w:t>
      </w:r>
    </w:p>
    <w:p w14:paraId="6D2DFFAD" w14:textId="45FE519C" w:rsidR="001B3968" w:rsidRDefault="001B3968" w:rsidP="001B3968">
      <w:pPr>
        <w:rPr>
          <w:rFonts w:ascii="Arial" w:hAnsi="Arial" w:cs="Arial"/>
          <w:color w:val="000000" w:themeColor="text1"/>
        </w:rPr>
      </w:pPr>
      <w:r>
        <w:rPr>
          <w:rFonts w:ascii="Arial" w:hAnsi="Arial" w:cs="Arial"/>
          <w:color w:val="000000" w:themeColor="text1"/>
        </w:rPr>
        <w:t>To ensure a standardized approach in the learning environment for learners and residents across all Department of Medicine divisions while:</w:t>
      </w:r>
    </w:p>
    <w:p w14:paraId="18B68F4E" w14:textId="488DA809" w:rsidR="001B3968" w:rsidRDefault="001B3968" w:rsidP="001B3968">
      <w:pPr>
        <w:numPr>
          <w:ilvl w:val="0"/>
          <w:numId w:val="2"/>
        </w:numPr>
        <w:rPr>
          <w:rFonts w:ascii="Arial" w:hAnsi="Arial" w:cs="Arial"/>
          <w:color w:val="000000" w:themeColor="text1"/>
        </w:rPr>
      </w:pPr>
      <w:r w:rsidRPr="00BE0B2F">
        <w:rPr>
          <w:rFonts w:ascii="Arial" w:hAnsi="Arial" w:cs="Arial"/>
          <w:color w:val="000000" w:themeColor="text1"/>
        </w:rPr>
        <w:t xml:space="preserve">Ensuring </w:t>
      </w:r>
      <w:r>
        <w:rPr>
          <w:rFonts w:ascii="Arial" w:hAnsi="Arial" w:cs="Arial"/>
          <w:color w:val="000000" w:themeColor="text1"/>
        </w:rPr>
        <w:t>residents</w:t>
      </w:r>
      <w:r w:rsidRPr="00BE0B2F">
        <w:rPr>
          <w:rFonts w:ascii="Arial" w:hAnsi="Arial" w:cs="Arial"/>
          <w:color w:val="000000" w:themeColor="text1"/>
        </w:rPr>
        <w:t xml:space="preserve"> on the have sufficient access to </w:t>
      </w:r>
      <w:r>
        <w:rPr>
          <w:rFonts w:ascii="Arial" w:hAnsi="Arial" w:cs="Arial"/>
          <w:color w:val="000000" w:themeColor="text1"/>
        </w:rPr>
        <w:t>physicians</w:t>
      </w:r>
      <w:r w:rsidRPr="00BE0B2F">
        <w:rPr>
          <w:rFonts w:ascii="Arial" w:hAnsi="Arial" w:cs="Arial"/>
          <w:color w:val="000000" w:themeColor="text1"/>
        </w:rPr>
        <w:t xml:space="preserve"> for educational opportunities</w:t>
      </w:r>
    </w:p>
    <w:p w14:paraId="2EA455C4" w14:textId="77777777" w:rsidR="001B3968" w:rsidRPr="00BE0B2F" w:rsidRDefault="001B3968" w:rsidP="001B3968">
      <w:pPr>
        <w:numPr>
          <w:ilvl w:val="0"/>
          <w:numId w:val="2"/>
        </w:numPr>
        <w:rPr>
          <w:rFonts w:ascii="Arial" w:hAnsi="Arial" w:cs="Arial"/>
          <w:color w:val="000000" w:themeColor="text1"/>
        </w:rPr>
      </w:pPr>
      <w:r>
        <w:rPr>
          <w:rFonts w:ascii="Arial" w:hAnsi="Arial" w:cs="Arial"/>
          <w:color w:val="000000" w:themeColor="text1"/>
        </w:rPr>
        <w:lastRenderedPageBreak/>
        <w:t>Ensuring safe and effective patient care</w:t>
      </w:r>
    </w:p>
    <w:p w14:paraId="717AFD0B" w14:textId="77777777" w:rsidR="001B3968" w:rsidRDefault="001B3968" w:rsidP="001B3968">
      <w:pPr>
        <w:numPr>
          <w:ilvl w:val="0"/>
          <w:numId w:val="2"/>
        </w:numPr>
        <w:rPr>
          <w:rFonts w:ascii="Arial" w:hAnsi="Arial" w:cs="Arial"/>
          <w:color w:val="000000" w:themeColor="text1"/>
        </w:rPr>
      </w:pPr>
      <w:r w:rsidRPr="00BE0B2F">
        <w:rPr>
          <w:rFonts w:ascii="Arial" w:hAnsi="Arial" w:cs="Arial"/>
          <w:color w:val="000000" w:themeColor="text1"/>
        </w:rPr>
        <w:t xml:space="preserve">Ensuring </w:t>
      </w:r>
      <w:r>
        <w:rPr>
          <w:rFonts w:ascii="Arial" w:hAnsi="Arial" w:cs="Arial"/>
          <w:color w:val="000000" w:themeColor="text1"/>
        </w:rPr>
        <w:t>residents and physicians</w:t>
      </w:r>
      <w:r w:rsidRPr="00BE0B2F">
        <w:rPr>
          <w:rFonts w:ascii="Arial" w:hAnsi="Arial" w:cs="Arial"/>
          <w:color w:val="000000" w:themeColor="text1"/>
        </w:rPr>
        <w:t xml:space="preserve"> are able to allocate sufficient time for comprehensive review and management of consultations and admitted patients </w:t>
      </w:r>
    </w:p>
    <w:p w14:paraId="164A7BB8" w14:textId="77777777" w:rsidR="001B3968" w:rsidRPr="00BE0B2F" w:rsidRDefault="001B3968" w:rsidP="001B3968">
      <w:pPr>
        <w:numPr>
          <w:ilvl w:val="0"/>
          <w:numId w:val="2"/>
        </w:numPr>
        <w:rPr>
          <w:rFonts w:ascii="Arial" w:hAnsi="Arial" w:cs="Arial"/>
          <w:color w:val="000000" w:themeColor="text1"/>
        </w:rPr>
      </w:pPr>
      <w:r>
        <w:rPr>
          <w:rFonts w:ascii="Arial" w:hAnsi="Arial" w:cs="Arial"/>
          <w:color w:val="000000" w:themeColor="text1"/>
        </w:rPr>
        <w:t>Ensuring the supervision and support of junior residents by attending physicians and senior residents</w:t>
      </w:r>
    </w:p>
    <w:p w14:paraId="42790AE6" w14:textId="77777777" w:rsidR="001B3968" w:rsidRDefault="001B3968" w:rsidP="001B3968">
      <w:pPr>
        <w:numPr>
          <w:ilvl w:val="0"/>
          <w:numId w:val="2"/>
        </w:numPr>
        <w:rPr>
          <w:rFonts w:ascii="Arial" w:hAnsi="Arial" w:cs="Arial"/>
          <w:color w:val="000000" w:themeColor="text1"/>
        </w:rPr>
      </w:pPr>
      <w:r w:rsidRPr="00BE0B2F">
        <w:rPr>
          <w:rFonts w:ascii="Arial" w:hAnsi="Arial" w:cs="Arial"/>
          <w:color w:val="000000" w:themeColor="text1"/>
        </w:rPr>
        <w:t>Ensuring educational opportunities and service responsibilities can generally be completed between 8am and 6pm on weekdays</w:t>
      </w:r>
    </w:p>
    <w:p w14:paraId="38A3F737" w14:textId="77777777" w:rsidR="001B3968" w:rsidRDefault="001B3968" w:rsidP="001B3968">
      <w:pPr>
        <w:rPr>
          <w:rFonts w:ascii="Arial" w:hAnsi="Arial" w:cs="Arial"/>
          <w:b/>
          <w:bCs/>
          <w:color w:val="25355A"/>
        </w:rPr>
      </w:pPr>
      <w:r>
        <w:rPr>
          <w:rFonts w:ascii="Arial" w:hAnsi="Arial" w:cs="Arial"/>
          <w:b/>
          <w:bCs/>
          <w:color w:val="25355A"/>
        </w:rPr>
        <w:t>Definition of Terms</w:t>
      </w:r>
    </w:p>
    <w:p w14:paraId="054FD4C6" w14:textId="77777777" w:rsidR="001B3968" w:rsidRDefault="001B3968" w:rsidP="001B3968">
      <w:pPr>
        <w:rPr>
          <w:rFonts w:ascii="Arial" w:hAnsi="Arial" w:cs="Arial"/>
        </w:rPr>
      </w:pPr>
      <w:r>
        <w:rPr>
          <w:rFonts w:ascii="Arial" w:hAnsi="Arial" w:cs="Arial"/>
        </w:rPr>
        <w:t>Junior resident: [</w:t>
      </w:r>
      <w:r w:rsidRPr="004B07D0">
        <w:rPr>
          <w:rFonts w:ascii="Arial" w:hAnsi="Arial" w:cs="Arial"/>
          <w:highlight w:val="yellow"/>
        </w:rPr>
        <w:t>adapt based on division definition</w:t>
      </w:r>
      <w:r>
        <w:rPr>
          <w:rFonts w:ascii="Arial" w:hAnsi="Arial" w:cs="Arial"/>
        </w:rPr>
        <w:t>]</w:t>
      </w:r>
    </w:p>
    <w:p w14:paraId="62A25099" w14:textId="77777777" w:rsidR="001B3968" w:rsidRDefault="001B3968" w:rsidP="001B3968">
      <w:pPr>
        <w:rPr>
          <w:rFonts w:ascii="Arial" w:hAnsi="Arial" w:cs="Arial"/>
        </w:rPr>
      </w:pPr>
      <w:r>
        <w:rPr>
          <w:rFonts w:ascii="Arial" w:hAnsi="Arial" w:cs="Arial"/>
        </w:rPr>
        <w:t>Senior resident: [</w:t>
      </w:r>
      <w:r w:rsidRPr="004B07D0">
        <w:rPr>
          <w:rFonts w:ascii="Arial" w:hAnsi="Arial" w:cs="Arial"/>
          <w:highlight w:val="yellow"/>
        </w:rPr>
        <w:t>adapt based on division definition</w:t>
      </w:r>
      <w:r>
        <w:rPr>
          <w:rFonts w:ascii="Arial" w:hAnsi="Arial" w:cs="Arial"/>
        </w:rPr>
        <w:t>]</w:t>
      </w:r>
    </w:p>
    <w:p w14:paraId="07FADEEB" w14:textId="77777777" w:rsidR="001B3968" w:rsidRDefault="001B3968" w:rsidP="001B3968">
      <w:pPr>
        <w:rPr>
          <w:rFonts w:ascii="Arial" w:hAnsi="Arial" w:cs="Arial"/>
        </w:rPr>
      </w:pPr>
      <w:r>
        <w:rPr>
          <w:rFonts w:ascii="Arial" w:hAnsi="Arial" w:cs="Arial"/>
        </w:rPr>
        <w:t>Attending physician: can be the most responsible physician (MRP) who has the final responsibility for making decisions about the care of a patient</w:t>
      </w:r>
      <w:r w:rsidRPr="004B07D0">
        <w:rPr>
          <w:rFonts w:ascii="Arial" w:hAnsi="Arial" w:cs="Arial"/>
        </w:rPr>
        <w:t>.</w:t>
      </w:r>
      <w:r>
        <w:rPr>
          <w:rFonts w:ascii="Arial" w:hAnsi="Arial" w:cs="Arial"/>
        </w:rPr>
        <w:t xml:space="preserve"> </w:t>
      </w:r>
    </w:p>
    <w:p w14:paraId="3E468EF9" w14:textId="40A3C436" w:rsidR="001B3968" w:rsidRDefault="001B3968" w:rsidP="001B3968">
      <w:pPr>
        <w:rPr>
          <w:rFonts w:ascii="Arial" w:hAnsi="Arial" w:cs="Arial"/>
        </w:rPr>
      </w:pPr>
      <w:r>
        <w:rPr>
          <w:rFonts w:ascii="Arial" w:hAnsi="Arial" w:cs="Arial"/>
        </w:rPr>
        <w:t xml:space="preserve">Learner: </w:t>
      </w:r>
      <w:r w:rsidR="00CD31A2">
        <w:rPr>
          <w:rFonts w:ascii="Arial" w:hAnsi="Arial" w:cs="Arial"/>
        </w:rPr>
        <w:t>all-encompassing</w:t>
      </w:r>
      <w:r>
        <w:rPr>
          <w:rFonts w:ascii="Arial" w:hAnsi="Arial" w:cs="Arial"/>
        </w:rPr>
        <w:t xml:space="preserve"> term for medical students, post-graduate medical students, trainees, residents etc.</w:t>
      </w:r>
    </w:p>
    <w:p w14:paraId="33E7C9BD" w14:textId="6D4D901B" w:rsidR="001B3968" w:rsidRDefault="0094409C" w:rsidP="001B3968">
      <w:pPr>
        <w:rPr>
          <w:rFonts w:ascii="Arial" w:hAnsi="Arial" w:cs="Arial"/>
          <w:b/>
          <w:bCs/>
          <w:color w:val="25355A"/>
          <w:u w:val="single"/>
        </w:rPr>
      </w:pPr>
      <w:r w:rsidRPr="00734CAD">
        <w:rPr>
          <w:rFonts w:ascii="Arial" w:hAnsi="Arial" w:cs="Arial"/>
          <w:b/>
          <w:bCs/>
          <w:color w:val="25355A"/>
          <w:u w:val="single"/>
        </w:rPr>
        <w:t>ROLES AND RESPONSIBILITIES FOR</w:t>
      </w:r>
      <w:r>
        <w:rPr>
          <w:rFonts w:ascii="Arial" w:hAnsi="Arial" w:cs="Arial"/>
          <w:b/>
          <w:bCs/>
          <w:color w:val="25355A"/>
          <w:u w:val="single"/>
        </w:rPr>
        <w:t xml:space="preserve"> THE ATTENDING PHYSICIAN ON THE GIM CLINICAL TEACHING UNIT</w:t>
      </w:r>
    </w:p>
    <w:p w14:paraId="539E50EC" w14:textId="020A960C" w:rsidR="0094409C" w:rsidRPr="0094409C" w:rsidRDefault="0094409C" w:rsidP="0094409C">
      <w:pPr>
        <w:pStyle w:val="ListParagraph"/>
        <w:numPr>
          <w:ilvl w:val="0"/>
          <w:numId w:val="12"/>
        </w:numPr>
        <w:rPr>
          <w:rFonts w:ascii="Arial" w:hAnsi="Arial" w:cs="Arial"/>
          <w:b/>
          <w:bCs/>
          <w:color w:val="25355A"/>
          <w:u w:val="single"/>
        </w:rPr>
      </w:pPr>
      <w:r>
        <w:rPr>
          <w:rFonts w:ascii="Arial" w:hAnsi="Arial" w:cs="Arial"/>
          <w:b/>
          <w:bCs/>
          <w:color w:val="25355A"/>
          <w:u w:val="single"/>
        </w:rPr>
        <w:t>PATIENT CARE</w:t>
      </w:r>
    </w:p>
    <w:p w14:paraId="5BA3AA48" w14:textId="424B893D" w:rsidR="0094409C" w:rsidRDefault="0094409C" w:rsidP="001B3968">
      <w:pPr>
        <w:rPr>
          <w:rFonts w:ascii="Arial" w:hAnsi="Arial" w:cs="Arial"/>
          <w:b/>
          <w:bCs/>
          <w:color w:val="25355A"/>
          <w:u w:val="single"/>
        </w:rPr>
      </w:pPr>
      <w:r>
        <w:rPr>
          <w:rFonts w:ascii="Arial" w:hAnsi="Arial" w:cs="Arial"/>
          <w:b/>
          <w:bCs/>
          <w:color w:val="25355A"/>
          <w:u w:val="single"/>
        </w:rPr>
        <w:t>Principles:</w:t>
      </w:r>
    </w:p>
    <w:p w14:paraId="0BB6C49C" w14:textId="77777777" w:rsidR="0094409C" w:rsidRDefault="0094409C" w:rsidP="0094409C">
      <w:pPr>
        <w:pStyle w:val="Default"/>
      </w:pPr>
    </w:p>
    <w:p w14:paraId="7DA15A80" w14:textId="77777777" w:rsidR="0094409C" w:rsidRPr="0094409C" w:rsidRDefault="0094409C" w:rsidP="0094409C">
      <w:pPr>
        <w:pStyle w:val="Default"/>
        <w:numPr>
          <w:ilvl w:val="0"/>
          <w:numId w:val="10"/>
        </w:numPr>
        <w:spacing w:after="59"/>
        <w:rPr>
          <w:rFonts w:ascii="Arial" w:hAnsi="Arial" w:cs="Arial"/>
          <w:sz w:val="22"/>
          <w:szCs w:val="22"/>
        </w:rPr>
      </w:pPr>
      <w:r w:rsidRPr="0094409C">
        <w:rPr>
          <w:rFonts w:ascii="Arial" w:hAnsi="Arial" w:cs="Arial"/>
          <w:bCs/>
          <w:sz w:val="22"/>
          <w:szCs w:val="22"/>
        </w:rPr>
        <w:t xml:space="preserve">the CTU provides safe and effective patient care; </w:t>
      </w:r>
    </w:p>
    <w:p w14:paraId="3219EBCB" w14:textId="29F0019B" w:rsidR="0094409C" w:rsidRPr="0094409C" w:rsidRDefault="0094409C" w:rsidP="0094409C">
      <w:pPr>
        <w:pStyle w:val="Default"/>
        <w:numPr>
          <w:ilvl w:val="0"/>
          <w:numId w:val="10"/>
        </w:numPr>
        <w:rPr>
          <w:rFonts w:ascii="Arial" w:hAnsi="Arial" w:cs="Arial"/>
          <w:sz w:val="22"/>
          <w:szCs w:val="22"/>
        </w:rPr>
      </w:pPr>
      <w:r w:rsidRPr="0094409C">
        <w:rPr>
          <w:rFonts w:ascii="Arial" w:hAnsi="Arial" w:cs="Arial"/>
          <w:bCs/>
          <w:sz w:val="22"/>
          <w:szCs w:val="22"/>
        </w:rPr>
        <w:t xml:space="preserve">the attending physician provides optimal supervision, feedback and support for patient care, and is available to provide direct patient care as needed to mitigate workload </w:t>
      </w:r>
    </w:p>
    <w:p w14:paraId="66DCC685" w14:textId="77777777" w:rsidR="0094409C" w:rsidRPr="0094409C" w:rsidRDefault="0094409C" w:rsidP="001B3968">
      <w:pPr>
        <w:rPr>
          <w:rFonts w:ascii="Arial" w:hAnsi="Arial" w:cs="Arial"/>
        </w:rPr>
      </w:pPr>
    </w:p>
    <w:p w14:paraId="08BAB5ED" w14:textId="0E4D4805" w:rsidR="0094409C" w:rsidRPr="0094409C" w:rsidRDefault="001B3968" w:rsidP="0094409C">
      <w:pPr>
        <w:rPr>
          <w:rFonts w:ascii="Arial" w:hAnsi="Arial" w:cs="Arial"/>
          <w:b/>
          <w:bCs/>
          <w:color w:val="25355A"/>
        </w:rPr>
      </w:pPr>
      <w:r>
        <w:rPr>
          <w:rFonts w:ascii="Arial" w:hAnsi="Arial" w:cs="Arial"/>
          <w:b/>
          <w:bCs/>
          <w:color w:val="25355A"/>
        </w:rPr>
        <w:t xml:space="preserve">Day-to-day </w:t>
      </w:r>
      <w:r w:rsidR="0094409C">
        <w:rPr>
          <w:rFonts w:ascii="Arial" w:hAnsi="Arial" w:cs="Arial"/>
          <w:b/>
          <w:bCs/>
          <w:color w:val="25355A"/>
        </w:rPr>
        <w:t>Operations</w:t>
      </w:r>
    </w:p>
    <w:p w14:paraId="7DE20CBA" w14:textId="77777777" w:rsidR="0094409C" w:rsidRPr="0094409C" w:rsidRDefault="0094409C" w:rsidP="0094409C">
      <w:pPr>
        <w:pStyle w:val="Default"/>
        <w:numPr>
          <w:ilvl w:val="0"/>
          <w:numId w:val="11"/>
        </w:numPr>
        <w:rPr>
          <w:rFonts w:ascii="Arial" w:hAnsi="Arial" w:cs="Arial"/>
          <w:sz w:val="22"/>
          <w:szCs w:val="22"/>
        </w:rPr>
      </w:pPr>
      <w:r w:rsidRPr="0094409C">
        <w:rPr>
          <w:rFonts w:ascii="Arial" w:hAnsi="Arial" w:cs="Arial"/>
          <w:sz w:val="22"/>
          <w:szCs w:val="22"/>
        </w:rPr>
        <w:t xml:space="preserve">Throughout the rotation, the attending physician will assume responsibility for all patients admitted to their team as the MRP. The attending physician will review the initial history, physical findings and management plan developed by the admitting house staff no later than the morning following admission. Exceptional circumstances may require review of admitted patients after the admitting resident has gone home. This is undesirable from an educational and patient care perspective, and should occur very rarely. </w:t>
      </w:r>
    </w:p>
    <w:p w14:paraId="640F2E49" w14:textId="77777777" w:rsidR="0094409C" w:rsidRPr="0094409C" w:rsidRDefault="0094409C" w:rsidP="0094409C">
      <w:pPr>
        <w:pStyle w:val="Default"/>
        <w:rPr>
          <w:rFonts w:ascii="Arial" w:hAnsi="Arial" w:cs="Arial"/>
          <w:sz w:val="22"/>
          <w:szCs w:val="22"/>
        </w:rPr>
      </w:pPr>
    </w:p>
    <w:p w14:paraId="356F83F5" w14:textId="5A5D3405" w:rsidR="0094409C" w:rsidRPr="0094409C" w:rsidRDefault="0094409C" w:rsidP="0094409C">
      <w:pPr>
        <w:pStyle w:val="Default"/>
        <w:numPr>
          <w:ilvl w:val="0"/>
          <w:numId w:val="11"/>
        </w:numPr>
        <w:rPr>
          <w:rFonts w:ascii="Arial" w:hAnsi="Arial" w:cs="Arial"/>
          <w:sz w:val="22"/>
          <w:szCs w:val="22"/>
        </w:rPr>
      </w:pPr>
      <w:r w:rsidRPr="0094409C">
        <w:rPr>
          <w:rFonts w:ascii="Arial" w:hAnsi="Arial" w:cs="Arial"/>
          <w:sz w:val="22"/>
          <w:szCs w:val="22"/>
        </w:rPr>
        <w:t xml:space="preserve">The attending physician will sign off all admission notes, and s/he or their MD delegate (e.g. PGY1 or higher) will counter sign all clinical clerk notes as required by the CPSO. </w:t>
      </w:r>
    </w:p>
    <w:p w14:paraId="122614E4" w14:textId="77777777" w:rsidR="0094409C" w:rsidRPr="0094409C" w:rsidRDefault="0094409C" w:rsidP="0094409C">
      <w:pPr>
        <w:pStyle w:val="Default"/>
        <w:rPr>
          <w:rFonts w:ascii="Arial" w:hAnsi="Arial" w:cs="Arial"/>
          <w:sz w:val="22"/>
          <w:szCs w:val="22"/>
        </w:rPr>
      </w:pPr>
    </w:p>
    <w:p w14:paraId="59FC1BDC" w14:textId="44A18779" w:rsidR="0094409C" w:rsidRPr="0094409C" w:rsidRDefault="0094409C" w:rsidP="0094409C">
      <w:pPr>
        <w:pStyle w:val="Default"/>
        <w:numPr>
          <w:ilvl w:val="0"/>
          <w:numId w:val="11"/>
        </w:numPr>
        <w:rPr>
          <w:rFonts w:ascii="Arial" w:hAnsi="Arial" w:cs="Arial"/>
          <w:sz w:val="22"/>
          <w:szCs w:val="22"/>
        </w:rPr>
      </w:pPr>
      <w:r w:rsidRPr="0094409C">
        <w:rPr>
          <w:rFonts w:ascii="Arial" w:hAnsi="Arial" w:cs="Arial"/>
          <w:sz w:val="22"/>
          <w:szCs w:val="22"/>
        </w:rPr>
        <w:t xml:space="preserve">The attending physician will take call on average every fourth night and on alternate days on their weekends on call. While on call, s/he will be available to provide direction, supervision and support for the house staff on any of the CTUs in matters pertaining to new referrals to General Internal Medicine. When the senior resident is away, the </w:t>
      </w:r>
      <w:r w:rsidRPr="0094409C">
        <w:rPr>
          <w:rFonts w:ascii="Arial" w:hAnsi="Arial" w:cs="Arial"/>
          <w:sz w:val="22"/>
          <w:szCs w:val="22"/>
        </w:rPr>
        <w:lastRenderedPageBreak/>
        <w:t xml:space="preserve">attending physician will assume the added responsibility of supporting the remaining team members with patient care. </w:t>
      </w:r>
    </w:p>
    <w:p w14:paraId="37C5A721" w14:textId="77777777" w:rsidR="0094409C" w:rsidRPr="0094409C" w:rsidRDefault="0094409C" w:rsidP="0094409C">
      <w:pPr>
        <w:pStyle w:val="Default"/>
        <w:rPr>
          <w:rFonts w:ascii="Arial" w:hAnsi="Arial" w:cs="Arial"/>
          <w:sz w:val="22"/>
          <w:szCs w:val="22"/>
        </w:rPr>
      </w:pPr>
    </w:p>
    <w:p w14:paraId="34A97F85" w14:textId="03D6F6C4" w:rsidR="0094409C" w:rsidRPr="0094409C" w:rsidRDefault="0094409C" w:rsidP="0094409C">
      <w:pPr>
        <w:pStyle w:val="Default"/>
        <w:numPr>
          <w:ilvl w:val="0"/>
          <w:numId w:val="11"/>
        </w:numPr>
        <w:rPr>
          <w:rFonts w:ascii="Arial" w:hAnsi="Arial" w:cs="Arial"/>
          <w:sz w:val="22"/>
          <w:szCs w:val="22"/>
        </w:rPr>
      </w:pPr>
      <w:r w:rsidRPr="0094409C">
        <w:rPr>
          <w:rFonts w:ascii="Arial" w:hAnsi="Arial" w:cs="Arial"/>
          <w:sz w:val="22"/>
          <w:szCs w:val="22"/>
        </w:rPr>
        <w:t xml:space="preserve">The attending physician will read and adhere to the admission guidelines, as well as other policies and procedures, for their specific institutions. </w:t>
      </w:r>
    </w:p>
    <w:p w14:paraId="658DE5AF" w14:textId="77777777" w:rsidR="0094409C" w:rsidRPr="0094409C" w:rsidRDefault="0094409C" w:rsidP="0094409C">
      <w:pPr>
        <w:pStyle w:val="Default"/>
        <w:rPr>
          <w:rFonts w:ascii="Arial" w:hAnsi="Arial" w:cs="Arial"/>
          <w:sz w:val="22"/>
          <w:szCs w:val="22"/>
        </w:rPr>
      </w:pPr>
    </w:p>
    <w:p w14:paraId="0FB158A6" w14:textId="68C56D74" w:rsidR="0094409C" w:rsidRPr="0094409C" w:rsidRDefault="0094409C" w:rsidP="0094409C">
      <w:pPr>
        <w:pStyle w:val="Default"/>
        <w:numPr>
          <w:ilvl w:val="0"/>
          <w:numId w:val="11"/>
        </w:numPr>
        <w:rPr>
          <w:rFonts w:ascii="Arial" w:hAnsi="Arial" w:cs="Arial"/>
          <w:sz w:val="22"/>
          <w:szCs w:val="22"/>
        </w:rPr>
      </w:pPr>
      <w:r w:rsidRPr="0094409C">
        <w:rPr>
          <w:rFonts w:ascii="Arial" w:hAnsi="Arial" w:cs="Arial"/>
          <w:sz w:val="22"/>
          <w:szCs w:val="22"/>
        </w:rPr>
        <w:t xml:space="preserve">The attending physician will examine the schedule for days when the team will be short-staffed. The attending physician is expected to assist </w:t>
      </w:r>
      <w:proofErr w:type="spellStart"/>
      <w:r w:rsidRPr="0094409C">
        <w:rPr>
          <w:rFonts w:ascii="Arial" w:hAnsi="Arial" w:cs="Arial"/>
          <w:sz w:val="22"/>
          <w:szCs w:val="22"/>
        </w:rPr>
        <w:t>housestaff</w:t>
      </w:r>
      <w:proofErr w:type="spellEnd"/>
      <w:r w:rsidRPr="0094409C">
        <w:rPr>
          <w:rFonts w:ascii="Arial" w:hAnsi="Arial" w:cs="Arial"/>
          <w:sz w:val="22"/>
          <w:szCs w:val="22"/>
        </w:rPr>
        <w:t xml:space="preserve"> in direct patient care activities when the team is short-staffed due to holidays, half-day off-site activities, illness, etc., or when the team is overwhelmed with the workload such that optimal patient care is compromised. </w:t>
      </w:r>
    </w:p>
    <w:p w14:paraId="452D9EC6" w14:textId="77777777" w:rsidR="0094409C" w:rsidRDefault="0094409C" w:rsidP="001B3968">
      <w:pPr>
        <w:rPr>
          <w:rFonts w:ascii="Arial" w:hAnsi="Arial" w:cs="Arial"/>
          <w:b/>
          <w:bCs/>
          <w:color w:val="25355A"/>
        </w:rPr>
      </w:pPr>
    </w:p>
    <w:p w14:paraId="02FF940D" w14:textId="583D0D76" w:rsidR="001B3968" w:rsidRPr="00722739" w:rsidRDefault="001B3968" w:rsidP="00722739">
      <w:pPr>
        <w:rPr>
          <w:rFonts w:ascii="Arial" w:hAnsi="Arial" w:cs="Arial"/>
          <w:b/>
          <w:bCs/>
          <w:color w:val="25355A"/>
        </w:rPr>
      </w:pPr>
      <w:r w:rsidRPr="00722739">
        <w:rPr>
          <w:rFonts w:ascii="Arial" w:hAnsi="Arial" w:cs="Arial"/>
          <w:b/>
          <w:bCs/>
          <w:color w:val="25355A"/>
        </w:rPr>
        <w:t>Overnight and Weekend Responsibilities</w:t>
      </w:r>
    </w:p>
    <w:p w14:paraId="5AE1DA72" w14:textId="77777777" w:rsidR="0094409C" w:rsidRPr="0094409C" w:rsidRDefault="0094409C" w:rsidP="0094409C">
      <w:pPr>
        <w:pStyle w:val="ListParagraph"/>
        <w:numPr>
          <w:ilvl w:val="0"/>
          <w:numId w:val="17"/>
        </w:numPr>
        <w:pBdr>
          <w:top w:val="nil"/>
          <w:left w:val="nil"/>
          <w:bottom w:val="nil"/>
          <w:right w:val="nil"/>
          <w:between w:val="nil"/>
          <w:bar w:val="nil"/>
        </w:pBdr>
        <w:rPr>
          <w:rFonts w:ascii="Arial" w:hAnsi="Arial" w:cs="Arial"/>
        </w:rPr>
      </w:pPr>
      <w:r w:rsidRPr="0094409C">
        <w:rPr>
          <w:rFonts w:ascii="Arial" w:hAnsi="Arial" w:cs="Arial"/>
        </w:rPr>
        <w:t>An attending physician is available at all times to provide supervision, feedback and support for patient care. The weekend attending physician may differ from the weekday attending physician. At times a PGY4 or PGY5 will be acting as a “junior attending” and will assume the attending roles outlined below, with support from the senior attending physician.</w:t>
      </w:r>
    </w:p>
    <w:p w14:paraId="2586206E" w14:textId="77777777" w:rsidR="0094409C" w:rsidRPr="0094409C" w:rsidRDefault="0094409C" w:rsidP="0094409C">
      <w:pPr>
        <w:pStyle w:val="ListParagraph"/>
        <w:numPr>
          <w:ilvl w:val="0"/>
          <w:numId w:val="17"/>
        </w:numPr>
        <w:pBdr>
          <w:top w:val="nil"/>
          <w:left w:val="nil"/>
          <w:bottom w:val="nil"/>
          <w:right w:val="nil"/>
          <w:between w:val="nil"/>
          <w:bar w:val="nil"/>
        </w:pBdr>
        <w:spacing w:after="0"/>
        <w:rPr>
          <w:rFonts w:ascii="Arial" w:hAnsi="Arial" w:cs="Arial"/>
        </w:rPr>
      </w:pPr>
      <w:r w:rsidRPr="0094409C">
        <w:rPr>
          <w:rFonts w:ascii="Arial" w:hAnsi="Arial" w:cs="Arial"/>
        </w:rPr>
        <w:t>The weekend attending physician:</w:t>
      </w:r>
    </w:p>
    <w:p w14:paraId="2596EDB6" w14:textId="77777777" w:rsidR="0094409C" w:rsidRPr="0094409C" w:rsidRDefault="0094409C" w:rsidP="0094409C">
      <w:pPr>
        <w:pStyle w:val="ListParagraph"/>
        <w:numPr>
          <w:ilvl w:val="1"/>
          <w:numId w:val="17"/>
        </w:numPr>
        <w:pBdr>
          <w:top w:val="nil"/>
          <w:left w:val="nil"/>
          <w:bottom w:val="nil"/>
          <w:right w:val="nil"/>
          <w:between w:val="nil"/>
          <w:bar w:val="nil"/>
        </w:pBdr>
        <w:spacing w:after="0"/>
        <w:rPr>
          <w:rFonts w:ascii="Arial" w:hAnsi="Arial" w:cs="Arial"/>
        </w:rPr>
      </w:pPr>
      <w:r w:rsidRPr="0094409C">
        <w:rPr>
          <w:rFonts w:ascii="Arial" w:hAnsi="Arial" w:cs="Arial"/>
        </w:rPr>
        <w:t xml:space="preserve">Reviews, writes notes, and ensures appropriate initial management for all new admissions; </w:t>
      </w:r>
    </w:p>
    <w:p w14:paraId="2A2A191D" w14:textId="77777777" w:rsidR="0094409C" w:rsidRPr="0094409C" w:rsidRDefault="0094409C" w:rsidP="0094409C">
      <w:pPr>
        <w:pStyle w:val="ListParagraph"/>
        <w:numPr>
          <w:ilvl w:val="1"/>
          <w:numId w:val="17"/>
        </w:numPr>
        <w:pBdr>
          <w:top w:val="nil"/>
          <w:left w:val="nil"/>
          <w:bottom w:val="nil"/>
          <w:right w:val="nil"/>
          <w:between w:val="nil"/>
          <w:bar w:val="nil"/>
        </w:pBdr>
        <w:spacing w:after="0"/>
        <w:rPr>
          <w:rFonts w:ascii="Arial" w:hAnsi="Arial" w:cs="Arial"/>
        </w:rPr>
      </w:pPr>
      <w:r w:rsidRPr="0094409C">
        <w:rPr>
          <w:rFonts w:ascii="Arial" w:hAnsi="Arial" w:cs="Arial"/>
        </w:rPr>
        <w:t xml:space="preserve">Assists the junior and senior residents in identifying any patients who do not require routine rounding on one or both weekend days; </w:t>
      </w:r>
    </w:p>
    <w:p w14:paraId="2C1237A4" w14:textId="77777777" w:rsidR="0094409C" w:rsidRPr="0094409C" w:rsidRDefault="0094409C" w:rsidP="0094409C">
      <w:pPr>
        <w:pStyle w:val="ListParagraph"/>
        <w:numPr>
          <w:ilvl w:val="1"/>
          <w:numId w:val="17"/>
        </w:numPr>
        <w:pBdr>
          <w:top w:val="nil"/>
          <w:left w:val="nil"/>
          <w:bottom w:val="nil"/>
          <w:right w:val="nil"/>
          <w:between w:val="nil"/>
          <w:bar w:val="nil"/>
        </w:pBdr>
        <w:spacing w:after="0"/>
        <w:rPr>
          <w:rFonts w:ascii="Arial" w:hAnsi="Arial" w:cs="Arial"/>
        </w:rPr>
      </w:pPr>
      <w:r w:rsidRPr="0094409C">
        <w:rPr>
          <w:rFonts w:ascii="Arial" w:hAnsi="Arial" w:cs="Arial"/>
        </w:rPr>
        <w:t>Uses judgement, in discussion with the resident, regarding allocation of rounding for the remainder of the patients, taking into account the volume and acuity of patients and the experience and training level of the residents;</w:t>
      </w:r>
    </w:p>
    <w:p w14:paraId="51ED5AB4" w14:textId="77777777" w:rsidR="0094409C" w:rsidRPr="0094409C" w:rsidRDefault="0094409C" w:rsidP="0094409C">
      <w:pPr>
        <w:pStyle w:val="ListParagraph"/>
        <w:numPr>
          <w:ilvl w:val="1"/>
          <w:numId w:val="17"/>
        </w:numPr>
        <w:pBdr>
          <w:top w:val="nil"/>
          <w:left w:val="nil"/>
          <w:bottom w:val="nil"/>
          <w:right w:val="nil"/>
          <w:between w:val="nil"/>
          <w:bar w:val="nil"/>
        </w:pBdr>
        <w:spacing w:after="0"/>
        <w:rPr>
          <w:rFonts w:ascii="Arial" w:hAnsi="Arial" w:cs="Arial"/>
        </w:rPr>
      </w:pPr>
      <w:r w:rsidRPr="0094409C">
        <w:rPr>
          <w:rFonts w:ascii="Arial" w:hAnsi="Arial" w:cs="Arial"/>
        </w:rPr>
        <w:t>Sees or reviews all unstable patients prior to leaving the hospital;</w:t>
      </w:r>
    </w:p>
    <w:p w14:paraId="19BD9A36" w14:textId="77777777" w:rsidR="0094409C" w:rsidRPr="0094409C" w:rsidRDefault="0094409C" w:rsidP="0094409C">
      <w:pPr>
        <w:pStyle w:val="ListParagraph"/>
        <w:numPr>
          <w:ilvl w:val="1"/>
          <w:numId w:val="17"/>
        </w:numPr>
        <w:pBdr>
          <w:top w:val="nil"/>
          <w:left w:val="nil"/>
          <w:bottom w:val="nil"/>
          <w:right w:val="nil"/>
          <w:between w:val="nil"/>
          <w:bar w:val="nil"/>
        </w:pBdr>
        <w:spacing w:after="0"/>
        <w:rPr>
          <w:rFonts w:ascii="Arial" w:hAnsi="Arial" w:cs="Arial"/>
        </w:rPr>
      </w:pPr>
      <w:r w:rsidRPr="0094409C">
        <w:rPr>
          <w:rFonts w:ascii="Arial" w:hAnsi="Arial" w:cs="Arial"/>
        </w:rPr>
        <w:t>Reviews the list of patients with the resident(s) after the resident has finished rounding (generally by phone);</w:t>
      </w:r>
    </w:p>
    <w:p w14:paraId="19D1D5E6" w14:textId="77777777" w:rsidR="0094409C" w:rsidRPr="0094409C" w:rsidRDefault="0094409C" w:rsidP="0094409C">
      <w:pPr>
        <w:pStyle w:val="ListParagraph"/>
        <w:numPr>
          <w:ilvl w:val="1"/>
          <w:numId w:val="17"/>
        </w:numPr>
        <w:pBdr>
          <w:top w:val="nil"/>
          <w:left w:val="nil"/>
          <w:bottom w:val="nil"/>
          <w:right w:val="nil"/>
          <w:between w:val="nil"/>
          <w:bar w:val="nil"/>
        </w:pBdr>
        <w:spacing w:after="0"/>
        <w:rPr>
          <w:rFonts w:ascii="Arial" w:hAnsi="Arial" w:cs="Arial"/>
        </w:rPr>
      </w:pPr>
      <w:r w:rsidRPr="0094409C">
        <w:rPr>
          <w:rFonts w:ascii="Arial" w:hAnsi="Arial" w:cs="Arial"/>
        </w:rPr>
        <w:t>Communicates with residents prior to leaving the hospital; time of departure from the hospital will depend on caseload, patient acuity, and other factors;</w:t>
      </w:r>
    </w:p>
    <w:p w14:paraId="160FA688" w14:textId="7ADAA662" w:rsidR="0094409C" w:rsidRPr="0094409C" w:rsidRDefault="0094409C" w:rsidP="0094409C">
      <w:pPr>
        <w:pStyle w:val="ListParagraph"/>
        <w:numPr>
          <w:ilvl w:val="1"/>
          <w:numId w:val="17"/>
        </w:numPr>
        <w:pBdr>
          <w:top w:val="nil"/>
          <w:left w:val="nil"/>
          <w:bottom w:val="nil"/>
          <w:right w:val="nil"/>
          <w:between w:val="nil"/>
          <w:bar w:val="nil"/>
        </w:pBdr>
        <w:spacing w:after="0"/>
        <w:rPr>
          <w:rFonts w:ascii="Arial" w:hAnsi="Arial" w:cs="Arial"/>
        </w:rPr>
      </w:pPr>
      <w:r w:rsidRPr="0094409C">
        <w:rPr>
          <w:rFonts w:ascii="Arial" w:hAnsi="Arial" w:cs="Arial"/>
        </w:rPr>
        <w:t>Is available by phone at all times.</w:t>
      </w:r>
    </w:p>
    <w:p w14:paraId="7174602F" w14:textId="77777777" w:rsidR="0094409C" w:rsidRPr="0094409C" w:rsidRDefault="0094409C" w:rsidP="0094409C">
      <w:pPr>
        <w:pStyle w:val="ListParagraph"/>
        <w:numPr>
          <w:ilvl w:val="0"/>
          <w:numId w:val="17"/>
        </w:numPr>
        <w:pBdr>
          <w:top w:val="nil"/>
          <w:left w:val="nil"/>
          <w:bottom w:val="nil"/>
          <w:right w:val="nil"/>
          <w:between w:val="nil"/>
          <w:bar w:val="nil"/>
        </w:pBdr>
        <w:spacing w:after="0"/>
        <w:rPr>
          <w:rFonts w:ascii="Arial" w:hAnsi="Arial" w:cs="Arial"/>
        </w:rPr>
      </w:pPr>
      <w:r w:rsidRPr="0094409C">
        <w:rPr>
          <w:rFonts w:ascii="Arial" w:hAnsi="Arial" w:cs="Arial"/>
        </w:rPr>
        <w:t>Each site will provide detailed information on operational issues, including (1) which attending physicians are covering which teams over the weekend; (2) how best to reach the attending physician (phone, text, page); and (3) instructions on whom to call next in the unlikely event that the attending physician cannot be reached.</w:t>
      </w:r>
    </w:p>
    <w:p w14:paraId="1E433AD6" w14:textId="77777777" w:rsidR="001B3968" w:rsidRPr="004B07D0" w:rsidRDefault="001B3968" w:rsidP="001B3968">
      <w:pPr>
        <w:rPr>
          <w:rFonts w:ascii="Arial" w:hAnsi="Arial" w:cs="Arial"/>
        </w:rPr>
      </w:pPr>
    </w:p>
    <w:p w14:paraId="13BAAE47" w14:textId="5FBBB90F" w:rsidR="0094409C" w:rsidRPr="0094409C" w:rsidRDefault="0094409C" w:rsidP="0094409C">
      <w:pPr>
        <w:pStyle w:val="ListParagraph"/>
        <w:numPr>
          <w:ilvl w:val="0"/>
          <w:numId w:val="12"/>
        </w:numPr>
        <w:rPr>
          <w:rFonts w:ascii="Arial" w:hAnsi="Arial" w:cs="Arial"/>
          <w:b/>
          <w:bCs/>
          <w:color w:val="25355A"/>
          <w:u w:val="single"/>
        </w:rPr>
      </w:pPr>
      <w:r>
        <w:rPr>
          <w:rFonts w:ascii="Arial" w:hAnsi="Arial" w:cs="Arial"/>
          <w:b/>
          <w:bCs/>
          <w:color w:val="25355A"/>
          <w:u w:val="single"/>
        </w:rPr>
        <w:t>EDUCATION</w:t>
      </w:r>
    </w:p>
    <w:p w14:paraId="0EE59AD1" w14:textId="7AE38945" w:rsidR="0094409C" w:rsidRPr="0094409C" w:rsidRDefault="0094409C" w:rsidP="0094409C">
      <w:pPr>
        <w:rPr>
          <w:rFonts w:ascii="Arial" w:hAnsi="Arial" w:cs="Arial"/>
          <w:b/>
          <w:bCs/>
          <w:color w:val="25355A"/>
          <w:u w:val="single"/>
        </w:rPr>
      </w:pPr>
      <w:r>
        <w:rPr>
          <w:rFonts w:ascii="Arial" w:hAnsi="Arial" w:cs="Arial"/>
          <w:b/>
          <w:bCs/>
          <w:color w:val="25355A"/>
          <w:u w:val="single"/>
        </w:rPr>
        <w:t>P</w:t>
      </w:r>
      <w:r>
        <w:rPr>
          <w:rFonts w:ascii="Arial" w:hAnsi="Arial" w:cs="Arial"/>
          <w:b/>
          <w:bCs/>
          <w:color w:val="25355A"/>
          <w:u w:val="single"/>
        </w:rPr>
        <w:t>rinciples:</w:t>
      </w:r>
    </w:p>
    <w:p w14:paraId="11795D64" w14:textId="77777777" w:rsidR="0094409C" w:rsidRPr="0094409C" w:rsidRDefault="0094409C" w:rsidP="0094409C">
      <w:pPr>
        <w:autoSpaceDE w:val="0"/>
        <w:autoSpaceDN w:val="0"/>
        <w:adjustRightInd w:val="0"/>
        <w:spacing w:after="0" w:line="240" w:lineRule="auto"/>
        <w:rPr>
          <w:rFonts w:ascii="Garamond" w:hAnsi="Garamond" w:cs="Garamond"/>
          <w:color w:val="000000"/>
          <w:sz w:val="24"/>
          <w:szCs w:val="24"/>
          <w:lang w:val="en-CA"/>
        </w:rPr>
      </w:pPr>
    </w:p>
    <w:p w14:paraId="78007308" w14:textId="77777777" w:rsidR="0094409C" w:rsidRPr="0094409C" w:rsidRDefault="0094409C" w:rsidP="0094409C">
      <w:pPr>
        <w:pStyle w:val="ListParagraph"/>
        <w:numPr>
          <w:ilvl w:val="0"/>
          <w:numId w:val="18"/>
        </w:numPr>
        <w:autoSpaceDE w:val="0"/>
        <w:autoSpaceDN w:val="0"/>
        <w:adjustRightInd w:val="0"/>
        <w:spacing w:after="61" w:line="240" w:lineRule="auto"/>
        <w:rPr>
          <w:rFonts w:ascii="Arial" w:hAnsi="Arial" w:cs="Arial"/>
          <w:color w:val="000000"/>
          <w:sz w:val="23"/>
          <w:szCs w:val="23"/>
          <w:lang w:val="en-CA"/>
        </w:rPr>
      </w:pPr>
      <w:r w:rsidRPr="0094409C">
        <w:rPr>
          <w:rFonts w:ascii="Arial" w:hAnsi="Arial" w:cs="Arial"/>
          <w:bCs/>
          <w:color w:val="000000"/>
          <w:sz w:val="23"/>
          <w:szCs w:val="23"/>
          <w:lang w:val="en-CA"/>
        </w:rPr>
        <w:t xml:space="preserve">the CTU offers a learning environment that optimizes experiential learning i.e. in which learning opportunities are linked to clinical activities and relevant supporting content as much as possible; </w:t>
      </w:r>
    </w:p>
    <w:p w14:paraId="4449F277" w14:textId="364E9064" w:rsidR="0094409C" w:rsidRPr="0094409C" w:rsidRDefault="0094409C" w:rsidP="0094409C">
      <w:pPr>
        <w:pStyle w:val="ListParagraph"/>
        <w:numPr>
          <w:ilvl w:val="0"/>
          <w:numId w:val="18"/>
        </w:numPr>
        <w:autoSpaceDE w:val="0"/>
        <w:autoSpaceDN w:val="0"/>
        <w:adjustRightInd w:val="0"/>
        <w:spacing w:after="61" w:line="240" w:lineRule="auto"/>
        <w:rPr>
          <w:rFonts w:ascii="Arial" w:hAnsi="Arial" w:cs="Arial"/>
          <w:color w:val="000000"/>
          <w:sz w:val="23"/>
          <w:szCs w:val="23"/>
          <w:lang w:val="en-CA"/>
        </w:rPr>
      </w:pPr>
      <w:r w:rsidRPr="0094409C">
        <w:rPr>
          <w:rFonts w:ascii="Arial" w:hAnsi="Arial" w:cs="Arial"/>
          <w:bCs/>
          <w:color w:val="000000"/>
          <w:sz w:val="23"/>
          <w:szCs w:val="23"/>
          <w:lang w:val="en-CA"/>
        </w:rPr>
        <w:lastRenderedPageBreak/>
        <w:t xml:space="preserve">the daily schedule on the CTU meets the requirements of PARO with respect to duty hour restrictions; </w:t>
      </w:r>
    </w:p>
    <w:p w14:paraId="63E7A31C" w14:textId="1A429865" w:rsidR="0094409C" w:rsidRPr="0094409C" w:rsidRDefault="0094409C" w:rsidP="0094409C">
      <w:pPr>
        <w:pStyle w:val="ListParagraph"/>
        <w:numPr>
          <w:ilvl w:val="0"/>
          <w:numId w:val="18"/>
        </w:numPr>
        <w:autoSpaceDE w:val="0"/>
        <w:autoSpaceDN w:val="0"/>
        <w:adjustRightInd w:val="0"/>
        <w:spacing w:after="0" w:line="240" w:lineRule="auto"/>
        <w:rPr>
          <w:rFonts w:ascii="Arial" w:hAnsi="Arial" w:cs="Arial"/>
          <w:color w:val="000000"/>
          <w:sz w:val="23"/>
          <w:szCs w:val="23"/>
          <w:lang w:val="en-CA"/>
        </w:rPr>
      </w:pPr>
      <w:r w:rsidRPr="0094409C">
        <w:rPr>
          <w:rFonts w:ascii="Arial" w:hAnsi="Arial" w:cs="Arial"/>
          <w:bCs/>
          <w:color w:val="000000"/>
          <w:sz w:val="23"/>
          <w:szCs w:val="23"/>
          <w:lang w:val="en-CA"/>
        </w:rPr>
        <w:t xml:space="preserve">the attending physician promotes a positive and supportive learning environment for all levels of trainees </w:t>
      </w:r>
    </w:p>
    <w:p w14:paraId="7E9E0AFC" w14:textId="77777777" w:rsidR="0094409C" w:rsidRPr="0094409C" w:rsidRDefault="0094409C" w:rsidP="0094409C">
      <w:pPr>
        <w:rPr>
          <w:rFonts w:ascii="Arial" w:hAnsi="Arial" w:cs="Arial"/>
        </w:rPr>
      </w:pPr>
    </w:p>
    <w:p w14:paraId="18574E16" w14:textId="78CCA606" w:rsidR="0094409C" w:rsidRPr="0094409C" w:rsidRDefault="0094409C" w:rsidP="0067195A">
      <w:pPr>
        <w:rPr>
          <w:rFonts w:ascii="Arial" w:hAnsi="Arial" w:cs="Arial"/>
          <w:b/>
          <w:bCs/>
          <w:color w:val="25355A"/>
        </w:rPr>
      </w:pPr>
      <w:r>
        <w:rPr>
          <w:rFonts w:ascii="Arial" w:hAnsi="Arial" w:cs="Arial"/>
          <w:b/>
          <w:bCs/>
          <w:color w:val="25355A"/>
        </w:rPr>
        <w:t>Day-to-day Operations</w:t>
      </w:r>
    </w:p>
    <w:p w14:paraId="685B61AE" w14:textId="77777777" w:rsidR="0094409C" w:rsidRPr="0067195A" w:rsidRDefault="0094409C" w:rsidP="0067195A">
      <w:pPr>
        <w:pStyle w:val="ListParagraph"/>
        <w:numPr>
          <w:ilvl w:val="0"/>
          <w:numId w:val="19"/>
        </w:numPr>
        <w:autoSpaceDE w:val="0"/>
        <w:autoSpaceDN w:val="0"/>
        <w:adjustRightInd w:val="0"/>
        <w:spacing w:after="0" w:line="240" w:lineRule="auto"/>
        <w:rPr>
          <w:rFonts w:ascii="Arial" w:hAnsi="Arial" w:cs="Arial"/>
          <w:color w:val="000000"/>
          <w:lang w:val="en-CA"/>
        </w:rPr>
      </w:pPr>
      <w:r w:rsidRPr="0067195A">
        <w:rPr>
          <w:rFonts w:ascii="Arial" w:hAnsi="Arial" w:cs="Arial"/>
          <w:color w:val="000000"/>
          <w:lang w:val="en-CA"/>
        </w:rPr>
        <w:t xml:space="preserve">The attending physician will be familiar with the </w:t>
      </w:r>
      <w:r w:rsidRPr="0067195A">
        <w:rPr>
          <w:rFonts w:ascii="Arial" w:hAnsi="Arial" w:cs="Arial"/>
          <w:i/>
          <w:iCs/>
          <w:color w:val="000000"/>
          <w:lang w:val="en-CA"/>
        </w:rPr>
        <w:t xml:space="preserve">Rotation-Specific Goals and Objectives </w:t>
      </w:r>
      <w:r w:rsidRPr="0067195A">
        <w:rPr>
          <w:rFonts w:ascii="Arial" w:hAnsi="Arial" w:cs="Arial"/>
          <w:color w:val="000000"/>
          <w:lang w:val="en-CA"/>
        </w:rPr>
        <w:t xml:space="preserve">and the corresponding </w:t>
      </w:r>
      <w:r w:rsidRPr="0067195A">
        <w:rPr>
          <w:rFonts w:ascii="Arial" w:hAnsi="Arial" w:cs="Arial"/>
          <w:i/>
          <w:iCs/>
          <w:color w:val="000000"/>
          <w:lang w:val="en-CA"/>
        </w:rPr>
        <w:t xml:space="preserve">In-training Evaluation Report (ITER) </w:t>
      </w:r>
      <w:r w:rsidRPr="0067195A">
        <w:rPr>
          <w:rFonts w:ascii="Arial" w:hAnsi="Arial" w:cs="Arial"/>
          <w:color w:val="000000"/>
          <w:lang w:val="en-CA"/>
        </w:rPr>
        <w:t xml:space="preserve">for the CTU rotation for all levels of trainees. </w:t>
      </w:r>
    </w:p>
    <w:p w14:paraId="14BF3930" w14:textId="77777777" w:rsidR="0094409C" w:rsidRPr="0094409C" w:rsidRDefault="0094409C" w:rsidP="0094409C">
      <w:pPr>
        <w:autoSpaceDE w:val="0"/>
        <w:autoSpaceDN w:val="0"/>
        <w:adjustRightInd w:val="0"/>
        <w:spacing w:after="0" w:line="240" w:lineRule="auto"/>
        <w:rPr>
          <w:rFonts w:ascii="Arial" w:hAnsi="Arial" w:cs="Arial"/>
          <w:color w:val="000000"/>
          <w:lang w:val="en-CA"/>
        </w:rPr>
      </w:pPr>
    </w:p>
    <w:p w14:paraId="0701AC46" w14:textId="26AD43C9" w:rsidR="0094409C" w:rsidRPr="0067195A" w:rsidRDefault="0094409C" w:rsidP="0067195A">
      <w:pPr>
        <w:pStyle w:val="ListParagraph"/>
        <w:numPr>
          <w:ilvl w:val="0"/>
          <w:numId w:val="19"/>
        </w:numPr>
        <w:autoSpaceDE w:val="0"/>
        <w:autoSpaceDN w:val="0"/>
        <w:adjustRightInd w:val="0"/>
        <w:spacing w:after="0" w:line="240" w:lineRule="auto"/>
        <w:rPr>
          <w:rFonts w:ascii="Arial" w:hAnsi="Arial" w:cs="Arial"/>
          <w:color w:val="000000"/>
          <w:lang w:val="en-CA"/>
        </w:rPr>
      </w:pPr>
      <w:r w:rsidRPr="0067195A">
        <w:rPr>
          <w:rFonts w:ascii="Arial" w:hAnsi="Arial" w:cs="Arial"/>
          <w:color w:val="000000"/>
          <w:lang w:val="en-CA"/>
        </w:rPr>
        <w:t xml:space="preserve">The attending physician will assist the </w:t>
      </w:r>
      <w:proofErr w:type="spellStart"/>
      <w:r w:rsidRPr="0067195A">
        <w:rPr>
          <w:rFonts w:ascii="Arial" w:hAnsi="Arial" w:cs="Arial"/>
          <w:color w:val="000000"/>
          <w:lang w:val="en-CA"/>
        </w:rPr>
        <w:t>housestaff</w:t>
      </w:r>
      <w:proofErr w:type="spellEnd"/>
      <w:r w:rsidRPr="0067195A">
        <w:rPr>
          <w:rFonts w:ascii="Arial" w:hAnsi="Arial" w:cs="Arial"/>
          <w:color w:val="000000"/>
          <w:lang w:val="en-CA"/>
        </w:rPr>
        <w:t xml:space="preserve"> to identify and acquire the knowledge and skills they require to manage patients; the attending physician will also assist the </w:t>
      </w:r>
      <w:proofErr w:type="spellStart"/>
      <w:r w:rsidRPr="0067195A">
        <w:rPr>
          <w:rFonts w:ascii="Arial" w:hAnsi="Arial" w:cs="Arial"/>
          <w:color w:val="000000"/>
          <w:lang w:val="en-CA"/>
        </w:rPr>
        <w:t>housestaff</w:t>
      </w:r>
      <w:proofErr w:type="spellEnd"/>
      <w:r w:rsidRPr="0067195A">
        <w:rPr>
          <w:rFonts w:ascii="Arial" w:hAnsi="Arial" w:cs="Arial"/>
          <w:color w:val="000000"/>
          <w:lang w:val="en-CA"/>
        </w:rPr>
        <w:t xml:space="preserve"> to meet these educational needs by facilitating self-directed learning, bedside teaching, case-based learning, and where appropriate, didactic sessions. Teaching should be imbricated with clinical practice as much as possible i.e. it should be relevant to the care of patients on CTU team, or to CTU systems, and it should complement daily workflow. </w:t>
      </w:r>
    </w:p>
    <w:p w14:paraId="663AB7FE" w14:textId="77777777" w:rsidR="0094409C" w:rsidRPr="0094409C" w:rsidRDefault="0094409C" w:rsidP="0094409C">
      <w:pPr>
        <w:autoSpaceDE w:val="0"/>
        <w:autoSpaceDN w:val="0"/>
        <w:adjustRightInd w:val="0"/>
        <w:spacing w:after="0" w:line="240" w:lineRule="auto"/>
        <w:rPr>
          <w:rFonts w:ascii="Arial" w:hAnsi="Arial" w:cs="Arial"/>
          <w:color w:val="000000"/>
          <w:lang w:val="en-CA"/>
        </w:rPr>
      </w:pPr>
    </w:p>
    <w:p w14:paraId="75B17ECF" w14:textId="5CE6C552" w:rsidR="0094409C" w:rsidRPr="0067195A" w:rsidRDefault="0094409C" w:rsidP="0067195A">
      <w:pPr>
        <w:pStyle w:val="ListParagraph"/>
        <w:numPr>
          <w:ilvl w:val="0"/>
          <w:numId w:val="19"/>
        </w:numPr>
        <w:autoSpaceDE w:val="0"/>
        <w:autoSpaceDN w:val="0"/>
        <w:adjustRightInd w:val="0"/>
        <w:spacing w:after="0" w:line="240" w:lineRule="auto"/>
        <w:rPr>
          <w:rFonts w:ascii="Arial" w:hAnsi="Arial" w:cs="Arial"/>
          <w:color w:val="000000"/>
          <w:lang w:val="en-CA"/>
        </w:rPr>
      </w:pPr>
      <w:r w:rsidRPr="0067195A">
        <w:rPr>
          <w:rFonts w:ascii="Arial" w:hAnsi="Arial" w:cs="Arial"/>
          <w:color w:val="000000"/>
          <w:lang w:val="en-CA"/>
        </w:rPr>
        <w:t xml:space="preserve">The attending physician will evaluate the performance of each resident and student assigned their respective CTU team. Informal feedback will be provided in a constructive manner on an ongoing basis, and semi-formally (i.e. no form required) at the half-way point of the rotation. </w:t>
      </w:r>
    </w:p>
    <w:p w14:paraId="355ACED9" w14:textId="77777777" w:rsidR="0094409C" w:rsidRPr="0094409C" w:rsidRDefault="0094409C" w:rsidP="0094409C">
      <w:pPr>
        <w:autoSpaceDE w:val="0"/>
        <w:autoSpaceDN w:val="0"/>
        <w:adjustRightInd w:val="0"/>
        <w:spacing w:after="0" w:line="240" w:lineRule="auto"/>
        <w:rPr>
          <w:rFonts w:ascii="Arial" w:hAnsi="Arial" w:cs="Arial"/>
          <w:color w:val="000000"/>
          <w:lang w:val="en-CA"/>
        </w:rPr>
      </w:pPr>
    </w:p>
    <w:p w14:paraId="77BE3A36" w14:textId="2583BBC3" w:rsidR="0094409C" w:rsidRPr="0067195A" w:rsidRDefault="0094409C" w:rsidP="0067195A">
      <w:pPr>
        <w:pStyle w:val="ListParagraph"/>
        <w:numPr>
          <w:ilvl w:val="0"/>
          <w:numId w:val="19"/>
        </w:numPr>
        <w:autoSpaceDE w:val="0"/>
        <w:autoSpaceDN w:val="0"/>
        <w:adjustRightInd w:val="0"/>
        <w:spacing w:after="0" w:line="240" w:lineRule="auto"/>
        <w:rPr>
          <w:rFonts w:ascii="Arial" w:hAnsi="Arial" w:cs="Arial"/>
          <w:color w:val="000000"/>
          <w:lang w:val="en-CA"/>
        </w:rPr>
      </w:pPr>
      <w:r w:rsidRPr="0067195A">
        <w:rPr>
          <w:rFonts w:ascii="Arial" w:hAnsi="Arial" w:cs="Arial"/>
          <w:color w:val="000000"/>
          <w:lang w:val="en-CA"/>
        </w:rPr>
        <w:t xml:space="preserve">The attending physician who is MRP on the last day of the rotation must complete an ITER based on their own direct observations, and seek input as appropriate from nurses, allied and other health care professionals, as well as from other trainees and attending physicians who have worked with the trainee. If the attending physician identifies that a trainee has a significant weakness in any of the </w:t>
      </w:r>
      <w:proofErr w:type="spellStart"/>
      <w:r w:rsidRPr="0067195A">
        <w:rPr>
          <w:rFonts w:ascii="Arial" w:hAnsi="Arial" w:cs="Arial"/>
          <w:color w:val="000000"/>
          <w:lang w:val="en-CA"/>
        </w:rPr>
        <w:t>CanMEDS</w:t>
      </w:r>
      <w:proofErr w:type="spellEnd"/>
      <w:r w:rsidRPr="0067195A">
        <w:rPr>
          <w:rFonts w:ascii="Arial" w:hAnsi="Arial" w:cs="Arial"/>
          <w:color w:val="000000"/>
          <w:lang w:val="en-CA"/>
        </w:rPr>
        <w:t xml:space="preserve"> domains, the attending physician must inform the appropriate site residency program director/ clerkship director. Furthermore, the trainee must be made aware of the weakness such that a support plan can be implemented early in the rotation to ensure patient safety and trainee development. </w:t>
      </w:r>
    </w:p>
    <w:p w14:paraId="33DDD1F7" w14:textId="77777777" w:rsidR="0094409C" w:rsidRPr="0094409C" w:rsidRDefault="0094409C" w:rsidP="0094409C">
      <w:pPr>
        <w:autoSpaceDE w:val="0"/>
        <w:autoSpaceDN w:val="0"/>
        <w:adjustRightInd w:val="0"/>
        <w:spacing w:after="0" w:line="240" w:lineRule="auto"/>
        <w:rPr>
          <w:rFonts w:ascii="Arial" w:hAnsi="Arial" w:cs="Arial"/>
          <w:color w:val="000000"/>
          <w:lang w:val="en-CA"/>
        </w:rPr>
      </w:pPr>
    </w:p>
    <w:p w14:paraId="5FCCC46C" w14:textId="77777777" w:rsidR="0094409C" w:rsidRPr="0067195A" w:rsidRDefault="0094409C" w:rsidP="0067195A">
      <w:pPr>
        <w:pStyle w:val="ListParagraph"/>
        <w:numPr>
          <w:ilvl w:val="0"/>
          <w:numId w:val="19"/>
        </w:numPr>
        <w:autoSpaceDE w:val="0"/>
        <w:autoSpaceDN w:val="0"/>
        <w:adjustRightInd w:val="0"/>
        <w:spacing w:after="0" w:line="240" w:lineRule="auto"/>
        <w:rPr>
          <w:rFonts w:ascii="Arial" w:hAnsi="Arial" w:cs="Arial"/>
          <w:color w:val="000000"/>
          <w:lang w:val="en-CA"/>
        </w:rPr>
      </w:pPr>
      <w:r w:rsidRPr="0067195A">
        <w:rPr>
          <w:rFonts w:ascii="Arial" w:hAnsi="Arial" w:cs="Arial"/>
          <w:color w:val="000000"/>
          <w:lang w:val="en-CA"/>
        </w:rPr>
        <w:t xml:space="preserve">The </w:t>
      </w:r>
      <w:proofErr w:type="spellStart"/>
      <w:r w:rsidRPr="0067195A">
        <w:rPr>
          <w:rFonts w:ascii="Arial" w:hAnsi="Arial" w:cs="Arial"/>
          <w:color w:val="000000"/>
          <w:lang w:val="en-CA"/>
        </w:rPr>
        <w:t>housestaff</w:t>
      </w:r>
      <w:proofErr w:type="spellEnd"/>
      <w:r w:rsidRPr="0067195A">
        <w:rPr>
          <w:rFonts w:ascii="Arial" w:hAnsi="Arial" w:cs="Arial"/>
          <w:color w:val="000000"/>
          <w:lang w:val="en-CA"/>
        </w:rPr>
        <w:t xml:space="preserve"> will anonymously evaluate the attending physician. Although any evaluation system has limitations, if an attending physician has teaching evaluations which are consistently poor, s/he will meet with the hospital’s GIM Division Head to discuss opportunities and support for faculty development </w:t>
      </w:r>
    </w:p>
    <w:p w14:paraId="1434E7DB" w14:textId="511D25CC" w:rsidR="001B3968" w:rsidRDefault="001B3968" w:rsidP="001B3968">
      <w:pPr>
        <w:rPr>
          <w:rFonts w:ascii="Arial" w:hAnsi="Arial" w:cs="Arial"/>
          <w:color w:val="000000" w:themeColor="text1"/>
        </w:rPr>
      </w:pPr>
    </w:p>
    <w:p w14:paraId="3E64C169" w14:textId="13C1E8E0" w:rsidR="0067195A" w:rsidRPr="0094409C" w:rsidRDefault="0067195A" w:rsidP="0067195A">
      <w:pPr>
        <w:pStyle w:val="ListParagraph"/>
        <w:numPr>
          <w:ilvl w:val="0"/>
          <w:numId w:val="12"/>
        </w:numPr>
        <w:rPr>
          <w:rFonts w:ascii="Arial" w:hAnsi="Arial" w:cs="Arial"/>
          <w:b/>
          <w:bCs/>
          <w:color w:val="25355A"/>
          <w:u w:val="single"/>
        </w:rPr>
      </w:pPr>
      <w:r>
        <w:rPr>
          <w:rFonts w:ascii="Arial" w:hAnsi="Arial" w:cs="Arial"/>
          <w:b/>
          <w:bCs/>
          <w:color w:val="25355A"/>
          <w:u w:val="single"/>
        </w:rPr>
        <w:t>PROFESSIONALISM</w:t>
      </w:r>
    </w:p>
    <w:p w14:paraId="1128C0C6" w14:textId="557BDC95" w:rsidR="0067195A" w:rsidRPr="0094409C" w:rsidRDefault="0067195A" w:rsidP="0067195A">
      <w:pPr>
        <w:rPr>
          <w:rFonts w:ascii="Arial" w:hAnsi="Arial" w:cs="Arial"/>
          <w:b/>
          <w:bCs/>
          <w:color w:val="25355A"/>
          <w:u w:val="single"/>
        </w:rPr>
      </w:pPr>
      <w:r>
        <w:rPr>
          <w:rFonts w:ascii="Arial" w:hAnsi="Arial" w:cs="Arial"/>
          <w:b/>
          <w:bCs/>
          <w:color w:val="25355A"/>
          <w:u w:val="single"/>
        </w:rPr>
        <w:t>Principles:</w:t>
      </w:r>
    </w:p>
    <w:p w14:paraId="0E7E695E" w14:textId="77777777" w:rsidR="0067195A" w:rsidRPr="0067195A" w:rsidRDefault="0067195A" w:rsidP="0067195A">
      <w:pPr>
        <w:autoSpaceDE w:val="0"/>
        <w:autoSpaceDN w:val="0"/>
        <w:adjustRightInd w:val="0"/>
        <w:spacing w:after="0" w:line="240" w:lineRule="auto"/>
        <w:rPr>
          <w:rFonts w:ascii="Garamond" w:hAnsi="Garamond" w:cs="Garamond"/>
          <w:color w:val="000000"/>
          <w:sz w:val="24"/>
          <w:szCs w:val="24"/>
          <w:lang w:val="en-CA"/>
        </w:rPr>
      </w:pPr>
    </w:p>
    <w:p w14:paraId="229CE389" w14:textId="77777777" w:rsidR="0067195A" w:rsidRPr="0067195A" w:rsidRDefault="0067195A" w:rsidP="0067195A">
      <w:pPr>
        <w:pStyle w:val="ListParagraph"/>
        <w:numPr>
          <w:ilvl w:val="0"/>
          <w:numId w:val="20"/>
        </w:numPr>
        <w:autoSpaceDE w:val="0"/>
        <w:autoSpaceDN w:val="0"/>
        <w:adjustRightInd w:val="0"/>
        <w:spacing w:after="62" w:line="240" w:lineRule="auto"/>
        <w:rPr>
          <w:rFonts w:ascii="Arial" w:hAnsi="Arial" w:cs="Arial"/>
          <w:color w:val="000000"/>
          <w:lang w:val="en-CA"/>
        </w:rPr>
      </w:pPr>
      <w:r w:rsidRPr="0067195A">
        <w:rPr>
          <w:rFonts w:ascii="Arial" w:hAnsi="Arial" w:cs="Arial"/>
          <w:bCs/>
          <w:color w:val="000000"/>
          <w:lang w:val="en-CA"/>
        </w:rPr>
        <w:t xml:space="preserve">the attending physician is a role model of professionalism for trainees on the CTU, and promotes a positive and supportive learning environment for all levels of trainees; </w:t>
      </w:r>
    </w:p>
    <w:p w14:paraId="77D1D4EF" w14:textId="214A03F8" w:rsidR="0067195A" w:rsidRPr="0067195A" w:rsidRDefault="0067195A" w:rsidP="0067195A">
      <w:pPr>
        <w:pStyle w:val="ListParagraph"/>
        <w:numPr>
          <w:ilvl w:val="0"/>
          <w:numId w:val="20"/>
        </w:numPr>
        <w:autoSpaceDE w:val="0"/>
        <w:autoSpaceDN w:val="0"/>
        <w:adjustRightInd w:val="0"/>
        <w:spacing w:after="62" w:line="240" w:lineRule="auto"/>
        <w:rPr>
          <w:rFonts w:ascii="Arial" w:hAnsi="Arial" w:cs="Arial"/>
          <w:color w:val="000000"/>
          <w:lang w:val="en-CA"/>
        </w:rPr>
      </w:pPr>
      <w:r w:rsidRPr="0067195A">
        <w:rPr>
          <w:rFonts w:ascii="Arial" w:hAnsi="Arial" w:cs="Arial"/>
          <w:bCs/>
          <w:color w:val="000000"/>
          <w:lang w:val="en-CA"/>
        </w:rPr>
        <w:t xml:space="preserve">all team members and patients on the CTU are treated with fairness, respect and dignity; </w:t>
      </w:r>
    </w:p>
    <w:p w14:paraId="47E2D0AE" w14:textId="4D43A942" w:rsidR="0067195A" w:rsidRPr="0067195A" w:rsidRDefault="0067195A" w:rsidP="0067195A">
      <w:pPr>
        <w:pStyle w:val="ListParagraph"/>
        <w:numPr>
          <w:ilvl w:val="0"/>
          <w:numId w:val="20"/>
        </w:numPr>
        <w:autoSpaceDE w:val="0"/>
        <w:autoSpaceDN w:val="0"/>
        <w:adjustRightInd w:val="0"/>
        <w:spacing w:after="0" w:line="240" w:lineRule="auto"/>
        <w:rPr>
          <w:rFonts w:ascii="Arial" w:hAnsi="Arial" w:cs="Arial"/>
          <w:color w:val="000000"/>
          <w:lang w:val="en-CA"/>
        </w:rPr>
      </w:pPr>
      <w:proofErr w:type="gramStart"/>
      <w:r w:rsidRPr="0067195A">
        <w:rPr>
          <w:rFonts w:ascii="Arial" w:hAnsi="Arial" w:cs="Arial"/>
          <w:bCs/>
          <w:color w:val="000000"/>
          <w:lang w:val="en-CA"/>
        </w:rPr>
        <w:lastRenderedPageBreak/>
        <w:t>the</w:t>
      </w:r>
      <w:proofErr w:type="gramEnd"/>
      <w:r w:rsidRPr="0067195A">
        <w:rPr>
          <w:rFonts w:ascii="Arial" w:hAnsi="Arial" w:cs="Arial"/>
          <w:bCs/>
          <w:color w:val="000000"/>
          <w:lang w:val="en-CA"/>
        </w:rPr>
        <w:t xml:space="preserve"> attending physician and trainees on the CTU behave with professionalism, “which includes the demonstration of compassion, service, altruism and trustworthiness…in all interactions in the training environment in order to provide the best quality care to patients” (CPSO, 2011). </w:t>
      </w:r>
    </w:p>
    <w:p w14:paraId="371B956D" w14:textId="77777777" w:rsidR="0067195A" w:rsidRPr="0067195A" w:rsidRDefault="0067195A" w:rsidP="0067195A">
      <w:pPr>
        <w:rPr>
          <w:rFonts w:ascii="Arial" w:hAnsi="Arial" w:cs="Arial"/>
        </w:rPr>
      </w:pPr>
    </w:p>
    <w:p w14:paraId="69F12EB4" w14:textId="2EDC8FB3" w:rsidR="0067195A" w:rsidRPr="0067195A" w:rsidRDefault="0067195A" w:rsidP="0067195A">
      <w:pPr>
        <w:rPr>
          <w:rFonts w:ascii="Arial" w:hAnsi="Arial" w:cs="Arial"/>
          <w:b/>
          <w:bCs/>
          <w:color w:val="25355A"/>
        </w:rPr>
      </w:pPr>
      <w:r>
        <w:rPr>
          <w:rFonts w:ascii="Arial" w:hAnsi="Arial" w:cs="Arial"/>
          <w:b/>
          <w:bCs/>
          <w:color w:val="25355A"/>
        </w:rPr>
        <w:t>Day-to-day Operations</w:t>
      </w:r>
    </w:p>
    <w:p w14:paraId="6499A660" w14:textId="77777777" w:rsidR="0067195A" w:rsidRPr="0067195A" w:rsidRDefault="0067195A" w:rsidP="0067195A">
      <w:pPr>
        <w:pStyle w:val="ListParagraph"/>
        <w:numPr>
          <w:ilvl w:val="0"/>
          <w:numId w:val="21"/>
        </w:numPr>
        <w:autoSpaceDE w:val="0"/>
        <w:autoSpaceDN w:val="0"/>
        <w:adjustRightInd w:val="0"/>
        <w:spacing w:after="0" w:line="240" w:lineRule="auto"/>
        <w:rPr>
          <w:rFonts w:ascii="Arial" w:hAnsi="Arial" w:cs="Arial"/>
          <w:color w:val="000000"/>
          <w:lang w:val="en-CA"/>
        </w:rPr>
      </w:pPr>
      <w:r w:rsidRPr="0067195A">
        <w:rPr>
          <w:rFonts w:ascii="Arial" w:hAnsi="Arial" w:cs="Arial"/>
          <w:color w:val="000000"/>
          <w:lang w:val="en-CA"/>
        </w:rPr>
        <w:t xml:space="preserve">The attending physician will behave with respect in all interactions with patients, colleagues, trainees and other members of the health care team. </w:t>
      </w:r>
    </w:p>
    <w:p w14:paraId="75909BCB" w14:textId="77777777" w:rsidR="0067195A" w:rsidRPr="0067195A" w:rsidRDefault="0067195A" w:rsidP="0067195A">
      <w:pPr>
        <w:autoSpaceDE w:val="0"/>
        <w:autoSpaceDN w:val="0"/>
        <w:adjustRightInd w:val="0"/>
        <w:spacing w:after="0" w:line="240" w:lineRule="auto"/>
        <w:rPr>
          <w:rFonts w:ascii="Arial" w:hAnsi="Arial" w:cs="Arial"/>
          <w:color w:val="000000"/>
          <w:lang w:val="en-CA"/>
        </w:rPr>
      </w:pPr>
    </w:p>
    <w:p w14:paraId="47B5C2AA" w14:textId="0155C450" w:rsidR="0067195A" w:rsidRPr="0067195A" w:rsidRDefault="0067195A" w:rsidP="0067195A">
      <w:pPr>
        <w:pStyle w:val="ListParagraph"/>
        <w:numPr>
          <w:ilvl w:val="0"/>
          <w:numId w:val="21"/>
        </w:numPr>
        <w:autoSpaceDE w:val="0"/>
        <w:autoSpaceDN w:val="0"/>
        <w:adjustRightInd w:val="0"/>
        <w:spacing w:after="0" w:line="240" w:lineRule="auto"/>
        <w:rPr>
          <w:rFonts w:ascii="Arial" w:hAnsi="Arial" w:cs="Arial"/>
          <w:color w:val="000000"/>
          <w:lang w:val="en-CA"/>
        </w:rPr>
      </w:pPr>
      <w:r w:rsidRPr="0067195A">
        <w:rPr>
          <w:rFonts w:ascii="Arial" w:hAnsi="Arial" w:cs="Arial"/>
          <w:color w:val="000000"/>
          <w:lang w:val="en-CA"/>
        </w:rPr>
        <w:t xml:space="preserve">The attending physician will follow the Faculty of Medicine, CPSO and hospital-specific codes of conduct. </w:t>
      </w:r>
    </w:p>
    <w:p w14:paraId="22F9E0C8" w14:textId="77777777" w:rsidR="0067195A" w:rsidRPr="0067195A" w:rsidRDefault="0067195A" w:rsidP="0067195A">
      <w:pPr>
        <w:autoSpaceDE w:val="0"/>
        <w:autoSpaceDN w:val="0"/>
        <w:adjustRightInd w:val="0"/>
        <w:spacing w:after="0" w:line="240" w:lineRule="auto"/>
        <w:rPr>
          <w:rFonts w:ascii="Arial" w:hAnsi="Arial" w:cs="Arial"/>
          <w:color w:val="000000"/>
          <w:lang w:val="en-CA"/>
        </w:rPr>
      </w:pPr>
    </w:p>
    <w:p w14:paraId="67311725" w14:textId="4535731F" w:rsidR="0067195A" w:rsidRPr="0067195A" w:rsidRDefault="0067195A" w:rsidP="0067195A">
      <w:pPr>
        <w:pStyle w:val="ListParagraph"/>
        <w:numPr>
          <w:ilvl w:val="0"/>
          <w:numId w:val="21"/>
        </w:numPr>
        <w:autoSpaceDE w:val="0"/>
        <w:autoSpaceDN w:val="0"/>
        <w:adjustRightInd w:val="0"/>
        <w:spacing w:after="0" w:line="240" w:lineRule="auto"/>
        <w:rPr>
          <w:rFonts w:ascii="Arial" w:hAnsi="Arial" w:cs="Arial"/>
          <w:color w:val="000000"/>
          <w:lang w:val="en-CA"/>
        </w:rPr>
      </w:pPr>
      <w:r w:rsidRPr="0067195A">
        <w:rPr>
          <w:rFonts w:ascii="Arial" w:hAnsi="Arial" w:cs="Arial"/>
          <w:color w:val="000000"/>
          <w:lang w:val="en-CA"/>
        </w:rPr>
        <w:t xml:space="preserve">While it is understood that every attending physician will have an individual “style” and that there may be permutations to the CTU daily schedule, these variations should be minor due to the paramount need to adhere to PARO and Undergraduate Medical Education’s duty-hour restrictions. In adhering to these duty-hour restrictions, the attending physician is demonstrating not only respect for these other organizations, but respect for the wellbeing of the trainees. </w:t>
      </w:r>
    </w:p>
    <w:p w14:paraId="6151D303" w14:textId="77777777" w:rsidR="0067195A" w:rsidRPr="0067195A" w:rsidRDefault="0067195A" w:rsidP="0067195A">
      <w:pPr>
        <w:autoSpaceDE w:val="0"/>
        <w:autoSpaceDN w:val="0"/>
        <w:adjustRightInd w:val="0"/>
        <w:spacing w:after="0" w:line="240" w:lineRule="auto"/>
        <w:rPr>
          <w:rFonts w:ascii="Arial" w:hAnsi="Arial" w:cs="Arial"/>
          <w:color w:val="000000"/>
          <w:lang w:val="en-CA"/>
        </w:rPr>
      </w:pPr>
    </w:p>
    <w:p w14:paraId="1B18FB80" w14:textId="7A5873A8" w:rsidR="0067195A" w:rsidRPr="0067195A" w:rsidRDefault="0067195A" w:rsidP="0067195A">
      <w:pPr>
        <w:pStyle w:val="ListParagraph"/>
        <w:numPr>
          <w:ilvl w:val="0"/>
          <w:numId w:val="21"/>
        </w:numPr>
        <w:autoSpaceDE w:val="0"/>
        <w:autoSpaceDN w:val="0"/>
        <w:adjustRightInd w:val="0"/>
        <w:spacing w:after="0" w:line="240" w:lineRule="auto"/>
        <w:rPr>
          <w:rFonts w:ascii="Arial" w:hAnsi="Arial" w:cs="Arial"/>
          <w:color w:val="000000"/>
          <w:lang w:val="en-CA"/>
        </w:rPr>
      </w:pPr>
      <w:r w:rsidRPr="0067195A">
        <w:rPr>
          <w:rFonts w:ascii="Arial" w:hAnsi="Arial" w:cs="Arial"/>
          <w:color w:val="000000"/>
          <w:lang w:val="en-CA"/>
        </w:rPr>
        <w:t xml:space="preserve">If the attending physician consistently does not adhere to the roles and responsibilities outlined by the Division, s/he will meet with the hospital’s GIM Division Head or with other leaders such as an ombudsperson, to discuss appropriate next steps. Similarly, the attending physician will report a perceived lapse in professionalism by a trainee to the site’s residency program director/clerkship director. </w:t>
      </w:r>
    </w:p>
    <w:p w14:paraId="2652F5B3" w14:textId="77777777" w:rsidR="007700A0" w:rsidRDefault="007700A0" w:rsidP="001B3968">
      <w:pPr>
        <w:rPr>
          <w:rFonts w:ascii="Arial" w:hAnsi="Arial" w:cs="Arial"/>
          <w:b/>
          <w:bCs/>
          <w:color w:val="25355A"/>
        </w:rPr>
      </w:pPr>
    </w:p>
    <w:p w14:paraId="020DB393" w14:textId="31806943" w:rsidR="001B3968" w:rsidRPr="00523804" w:rsidRDefault="001B3968" w:rsidP="001B3968">
      <w:pPr>
        <w:rPr>
          <w:rFonts w:ascii="Arial" w:hAnsi="Arial" w:cs="Arial"/>
          <w:b/>
          <w:bCs/>
          <w:color w:val="25355A"/>
        </w:rPr>
      </w:pPr>
      <w:r w:rsidRPr="00523804">
        <w:rPr>
          <w:rFonts w:ascii="Arial" w:hAnsi="Arial" w:cs="Arial"/>
          <w:b/>
          <w:bCs/>
          <w:color w:val="25355A"/>
        </w:rPr>
        <w:t>Additional References and Resources</w:t>
      </w:r>
    </w:p>
    <w:p w14:paraId="7D89B95B" w14:textId="1177593A" w:rsidR="00722739" w:rsidRDefault="00722739" w:rsidP="001B3968">
      <w:pPr>
        <w:rPr>
          <w:rFonts w:ascii="Arial" w:hAnsi="Arial" w:cs="Arial"/>
          <w:color w:val="000000" w:themeColor="text1"/>
        </w:rPr>
      </w:pPr>
      <w:r>
        <w:rPr>
          <w:rFonts w:ascii="Arial" w:hAnsi="Arial" w:cs="Arial"/>
          <w:color w:val="000000" w:themeColor="text1"/>
        </w:rPr>
        <w:t>Feedback in the Clinical Setting</w:t>
      </w:r>
    </w:p>
    <w:p w14:paraId="2AA6ADEF" w14:textId="4C11D611" w:rsidR="00722739" w:rsidRDefault="0055025E" w:rsidP="00722739">
      <w:pPr>
        <w:pStyle w:val="ListParagraph"/>
        <w:numPr>
          <w:ilvl w:val="0"/>
          <w:numId w:val="9"/>
        </w:numPr>
        <w:rPr>
          <w:rFonts w:ascii="Arial" w:hAnsi="Arial" w:cs="Arial"/>
          <w:color w:val="000000" w:themeColor="text1"/>
        </w:rPr>
      </w:pPr>
      <w:hyperlink r:id="rId7" w:history="1">
        <w:r w:rsidR="00722739" w:rsidRPr="00722739">
          <w:rPr>
            <w:rStyle w:val="Hyperlink"/>
            <w:rFonts w:ascii="Arial" w:hAnsi="Arial" w:cs="Arial"/>
          </w:rPr>
          <w:t>Feedback in the Clinical Setting</w:t>
        </w:r>
      </w:hyperlink>
    </w:p>
    <w:p w14:paraId="634E30C0" w14:textId="2CC916BE" w:rsidR="003D2EF7" w:rsidRDefault="0055025E" w:rsidP="00722739">
      <w:pPr>
        <w:pStyle w:val="ListParagraph"/>
        <w:numPr>
          <w:ilvl w:val="0"/>
          <w:numId w:val="9"/>
        </w:numPr>
        <w:rPr>
          <w:rFonts w:ascii="Arial" w:hAnsi="Arial" w:cs="Arial"/>
          <w:color w:val="000000" w:themeColor="text1"/>
        </w:rPr>
      </w:pPr>
      <w:hyperlink r:id="rId8" w:history="1">
        <w:r w:rsidR="003D2EF7" w:rsidRPr="003D2EF7">
          <w:rPr>
            <w:rStyle w:val="Hyperlink"/>
            <w:rFonts w:ascii="Arial" w:hAnsi="Arial" w:cs="Arial"/>
          </w:rPr>
          <w:t>Improving the Giving and Receiving of Feedback</w:t>
        </w:r>
      </w:hyperlink>
    </w:p>
    <w:p w14:paraId="004F0D80" w14:textId="073309F6" w:rsidR="00722739" w:rsidRPr="00722739" w:rsidRDefault="0055025E" w:rsidP="00722739">
      <w:pPr>
        <w:pStyle w:val="ListParagraph"/>
        <w:numPr>
          <w:ilvl w:val="0"/>
          <w:numId w:val="9"/>
        </w:numPr>
        <w:rPr>
          <w:rFonts w:ascii="Arial" w:hAnsi="Arial" w:cs="Arial"/>
          <w:color w:val="000000" w:themeColor="text1"/>
        </w:rPr>
      </w:pPr>
      <w:hyperlink r:id="rId9" w:history="1">
        <w:r w:rsidR="003D2EF7" w:rsidRPr="003D2EF7">
          <w:rPr>
            <w:rStyle w:val="Hyperlink"/>
            <w:rFonts w:ascii="Arial" w:hAnsi="Arial" w:cs="Arial"/>
          </w:rPr>
          <w:t>Six Common Pitfalls of Feedback Conversations</w:t>
        </w:r>
      </w:hyperlink>
      <w:r w:rsidR="003D2EF7">
        <w:rPr>
          <w:rFonts w:ascii="Arial" w:hAnsi="Arial" w:cs="Arial"/>
          <w:color w:val="000000" w:themeColor="text1"/>
        </w:rPr>
        <w:t xml:space="preserve"> </w:t>
      </w:r>
    </w:p>
    <w:p w14:paraId="62AEBCB5" w14:textId="55857FEE" w:rsidR="001B3968" w:rsidRPr="00523804" w:rsidRDefault="001B3968" w:rsidP="001B3968">
      <w:pPr>
        <w:rPr>
          <w:rFonts w:ascii="Arial" w:hAnsi="Arial" w:cs="Arial"/>
          <w:color w:val="000000" w:themeColor="text1"/>
        </w:rPr>
      </w:pPr>
      <w:r w:rsidRPr="00523804">
        <w:rPr>
          <w:rFonts w:ascii="Arial" w:hAnsi="Arial" w:cs="Arial"/>
          <w:color w:val="000000" w:themeColor="text1"/>
        </w:rPr>
        <w:t>PGME, University of Toronto</w:t>
      </w:r>
    </w:p>
    <w:p w14:paraId="648A4F56" w14:textId="77777777" w:rsidR="001B3968" w:rsidRDefault="0055025E" w:rsidP="001B3968">
      <w:pPr>
        <w:pStyle w:val="ListParagraph"/>
        <w:numPr>
          <w:ilvl w:val="0"/>
          <w:numId w:val="6"/>
        </w:numPr>
        <w:rPr>
          <w:rFonts w:ascii="Arial" w:hAnsi="Arial" w:cs="Arial"/>
          <w:color w:val="000000" w:themeColor="text1"/>
        </w:rPr>
      </w:pPr>
      <w:hyperlink r:id="rId10" w:history="1">
        <w:r w:rsidR="001B3968" w:rsidRPr="00523804">
          <w:rPr>
            <w:rStyle w:val="Hyperlink"/>
            <w:rFonts w:ascii="Arial" w:hAnsi="Arial" w:cs="Arial"/>
          </w:rPr>
          <w:t>Wellness Guidelines for Postgraduate Trainees</w:t>
        </w:r>
      </w:hyperlink>
    </w:p>
    <w:p w14:paraId="29127015" w14:textId="77777777" w:rsidR="001B3968" w:rsidRPr="00523804" w:rsidRDefault="0055025E" w:rsidP="001B3968">
      <w:pPr>
        <w:pStyle w:val="ListParagraph"/>
        <w:numPr>
          <w:ilvl w:val="0"/>
          <w:numId w:val="6"/>
        </w:numPr>
        <w:rPr>
          <w:rFonts w:ascii="Arial" w:hAnsi="Arial" w:cs="Arial"/>
          <w:color w:val="000000" w:themeColor="text1"/>
        </w:rPr>
      </w:pPr>
      <w:hyperlink r:id="rId11" w:history="1">
        <w:r w:rsidR="001B3968" w:rsidRPr="00523804">
          <w:rPr>
            <w:rStyle w:val="Hyperlink"/>
            <w:rFonts w:ascii="Arial" w:hAnsi="Arial" w:cs="Arial"/>
          </w:rPr>
          <w:t xml:space="preserve">Guidelines for Addressing Intimidation, Harassment and Other Kinds of Unprofessional or Disruptive </w:t>
        </w:r>
        <w:proofErr w:type="spellStart"/>
        <w:r w:rsidR="001B3968" w:rsidRPr="00523804">
          <w:rPr>
            <w:rStyle w:val="Hyperlink"/>
            <w:rFonts w:ascii="Arial" w:hAnsi="Arial" w:cs="Arial"/>
          </w:rPr>
          <w:t>Behaviour</w:t>
        </w:r>
        <w:proofErr w:type="spellEnd"/>
      </w:hyperlink>
    </w:p>
    <w:p w14:paraId="4362A74D" w14:textId="77777777" w:rsidR="001B3968" w:rsidRPr="00523804" w:rsidRDefault="001B3968" w:rsidP="001B3968">
      <w:pPr>
        <w:rPr>
          <w:rFonts w:ascii="Arial" w:hAnsi="Arial" w:cs="Arial"/>
          <w:color w:val="000000" w:themeColor="text1"/>
        </w:rPr>
      </w:pPr>
      <w:r w:rsidRPr="00523804">
        <w:rPr>
          <w:rFonts w:ascii="Arial" w:hAnsi="Arial" w:cs="Arial"/>
          <w:color w:val="000000" w:themeColor="text1"/>
        </w:rPr>
        <w:t>MD Program, University of Toronto</w:t>
      </w:r>
    </w:p>
    <w:p w14:paraId="3AB90E5D" w14:textId="77777777" w:rsidR="001B3968" w:rsidRDefault="0055025E" w:rsidP="001B3968">
      <w:pPr>
        <w:pStyle w:val="ListParagraph"/>
        <w:numPr>
          <w:ilvl w:val="0"/>
          <w:numId w:val="7"/>
        </w:numPr>
        <w:rPr>
          <w:rFonts w:ascii="Arial" w:hAnsi="Arial" w:cs="Arial"/>
          <w:color w:val="000000" w:themeColor="text1"/>
        </w:rPr>
      </w:pPr>
      <w:hyperlink r:id="rId12" w:history="1">
        <w:r w:rsidR="001B3968" w:rsidRPr="00523804">
          <w:rPr>
            <w:rStyle w:val="Hyperlink"/>
            <w:rFonts w:ascii="Arial" w:hAnsi="Arial" w:cs="Arial"/>
          </w:rPr>
          <w:t>Student Mistreatment Protocol Faculty of Medicine, University of Toronto</w:t>
        </w:r>
      </w:hyperlink>
    </w:p>
    <w:p w14:paraId="6868D402" w14:textId="77777777" w:rsidR="001B3968" w:rsidRPr="00523804" w:rsidRDefault="0055025E" w:rsidP="001B3968">
      <w:pPr>
        <w:pStyle w:val="ListParagraph"/>
        <w:numPr>
          <w:ilvl w:val="0"/>
          <w:numId w:val="7"/>
        </w:numPr>
        <w:rPr>
          <w:rFonts w:ascii="Arial" w:hAnsi="Arial" w:cs="Arial"/>
          <w:color w:val="000000" w:themeColor="text1"/>
        </w:rPr>
      </w:pPr>
      <w:hyperlink r:id="rId13" w:history="1">
        <w:r w:rsidR="001B3968" w:rsidRPr="00D00462">
          <w:rPr>
            <w:rStyle w:val="Hyperlink"/>
            <w:rFonts w:ascii="Arial" w:hAnsi="Arial" w:cs="Arial"/>
          </w:rPr>
          <w:t xml:space="preserve">Standards of Professional </w:t>
        </w:r>
        <w:proofErr w:type="spellStart"/>
        <w:r w:rsidR="001B3968" w:rsidRPr="00D00462">
          <w:rPr>
            <w:rStyle w:val="Hyperlink"/>
            <w:rFonts w:ascii="Arial" w:hAnsi="Arial" w:cs="Arial"/>
          </w:rPr>
          <w:t>Behaviour</w:t>
        </w:r>
        <w:proofErr w:type="spellEnd"/>
        <w:r w:rsidR="001B3968" w:rsidRPr="00D00462">
          <w:rPr>
            <w:rStyle w:val="Hyperlink"/>
            <w:rFonts w:ascii="Arial" w:hAnsi="Arial" w:cs="Arial"/>
          </w:rPr>
          <w:t xml:space="preserve"> for Clinical (MD) Faculty</w:t>
        </w:r>
      </w:hyperlink>
    </w:p>
    <w:p w14:paraId="189A42D8" w14:textId="77777777" w:rsidR="001B3968" w:rsidRPr="00523804" w:rsidRDefault="001B3968" w:rsidP="001B3968">
      <w:pPr>
        <w:rPr>
          <w:rFonts w:ascii="Arial" w:hAnsi="Arial" w:cs="Arial"/>
          <w:color w:val="000000" w:themeColor="text1"/>
        </w:rPr>
      </w:pPr>
      <w:r w:rsidRPr="00523804">
        <w:rPr>
          <w:rFonts w:ascii="Arial" w:hAnsi="Arial" w:cs="Arial"/>
          <w:color w:val="000000" w:themeColor="text1"/>
        </w:rPr>
        <w:t>CPSO</w:t>
      </w:r>
    </w:p>
    <w:p w14:paraId="71032472" w14:textId="77777777" w:rsidR="001B3968" w:rsidRPr="00523804" w:rsidRDefault="0055025E" w:rsidP="001B3968">
      <w:pPr>
        <w:pStyle w:val="ListParagraph"/>
        <w:numPr>
          <w:ilvl w:val="0"/>
          <w:numId w:val="8"/>
        </w:numPr>
        <w:rPr>
          <w:rFonts w:ascii="Arial" w:hAnsi="Arial" w:cs="Arial"/>
          <w:color w:val="000000" w:themeColor="text1"/>
        </w:rPr>
      </w:pPr>
      <w:hyperlink r:id="rId14" w:history="1">
        <w:r w:rsidR="001B3968" w:rsidRPr="00D00462">
          <w:rPr>
            <w:rStyle w:val="Hyperlink"/>
            <w:rFonts w:ascii="Arial" w:hAnsi="Arial" w:cs="Arial"/>
          </w:rPr>
          <w:t xml:space="preserve">Physician </w:t>
        </w:r>
        <w:proofErr w:type="spellStart"/>
        <w:r w:rsidR="001B3968" w:rsidRPr="00D00462">
          <w:rPr>
            <w:rStyle w:val="Hyperlink"/>
            <w:rFonts w:ascii="Arial" w:hAnsi="Arial" w:cs="Arial"/>
          </w:rPr>
          <w:t>Behaviour</w:t>
        </w:r>
        <w:proofErr w:type="spellEnd"/>
        <w:r w:rsidR="001B3968" w:rsidRPr="00D00462">
          <w:rPr>
            <w:rStyle w:val="Hyperlink"/>
            <w:rFonts w:ascii="Arial" w:hAnsi="Arial" w:cs="Arial"/>
          </w:rPr>
          <w:t xml:space="preserve"> in the Professional Environment</w:t>
        </w:r>
      </w:hyperlink>
    </w:p>
    <w:p w14:paraId="209A0A4C" w14:textId="77777777" w:rsidR="001B3968" w:rsidRPr="00523804" w:rsidRDefault="0055025E" w:rsidP="001B3968">
      <w:pPr>
        <w:pStyle w:val="ListParagraph"/>
        <w:numPr>
          <w:ilvl w:val="0"/>
          <w:numId w:val="8"/>
        </w:numPr>
        <w:rPr>
          <w:rFonts w:ascii="Arial" w:hAnsi="Arial" w:cs="Arial"/>
          <w:color w:val="000000" w:themeColor="text1"/>
        </w:rPr>
      </w:pPr>
      <w:hyperlink r:id="rId15" w:history="1">
        <w:r w:rsidR="001B3968" w:rsidRPr="00D00462">
          <w:rPr>
            <w:rStyle w:val="Hyperlink"/>
            <w:rFonts w:ascii="Arial" w:hAnsi="Arial" w:cs="Arial"/>
          </w:rPr>
          <w:t>Professional Responsibilities in Undergraduate Medical Education</w:t>
        </w:r>
      </w:hyperlink>
    </w:p>
    <w:p w14:paraId="5089DA34" w14:textId="77777777" w:rsidR="001B3968" w:rsidRPr="00523804" w:rsidRDefault="0055025E" w:rsidP="001B3968">
      <w:pPr>
        <w:pStyle w:val="ListParagraph"/>
        <w:numPr>
          <w:ilvl w:val="0"/>
          <w:numId w:val="8"/>
        </w:numPr>
        <w:rPr>
          <w:rFonts w:ascii="Arial" w:hAnsi="Arial" w:cs="Arial"/>
          <w:color w:val="000000" w:themeColor="text1"/>
        </w:rPr>
      </w:pPr>
      <w:hyperlink r:id="rId16" w:history="1">
        <w:r w:rsidR="001B3968" w:rsidRPr="00D00462">
          <w:rPr>
            <w:rStyle w:val="Hyperlink"/>
            <w:rFonts w:ascii="Arial" w:hAnsi="Arial" w:cs="Arial"/>
          </w:rPr>
          <w:t>Professional Responsibilities in Postgraduate Medical Education</w:t>
        </w:r>
      </w:hyperlink>
    </w:p>
    <w:p w14:paraId="5384D980" w14:textId="77777777" w:rsidR="001B3968" w:rsidRPr="00523804" w:rsidRDefault="0055025E" w:rsidP="001B3968">
      <w:pPr>
        <w:pStyle w:val="ListParagraph"/>
        <w:numPr>
          <w:ilvl w:val="0"/>
          <w:numId w:val="8"/>
        </w:numPr>
        <w:rPr>
          <w:rFonts w:ascii="Arial" w:hAnsi="Arial" w:cs="Arial"/>
          <w:color w:val="000000" w:themeColor="text1"/>
        </w:rPr>
      </w:pPr>
      <w:hyperlink r:id="rId17" w:history="1">
        <w:r w:rsidR="001B3968" w:rsidRPr="00D00462">
          <w:rPr>
            <w:rStyle w:val="Hyperlink"/>
            <w:rFonts w:ascii="Arial" w:hAnsi="Arial" w:cs="Arial"/>
          </w:rPr>
          <w:t>Guidelines for Supervision</w:t>
        </w:r>
      </w:hyperlink>
    </w:p>
    <w:p w14:paraId="2A98F0D2" w14:textId="77777777" w:rsidR="001B3968" w:rsidRPr="00523804" w:rsidRDefault="0055025E" w:rsidP="001B3968">
      <w:pPr>
        <w:pStyle w:val="ListParagraph"/>
        <w:numPr>
          <w:ilvl w:val="0"/>
          <w:numId w:val="8"/>
        </w:numPr>
        <w:rPr>
          <w:rFonts w:ascii="Arial" w:hAnsi="Arial" w:cs="Arial"/>
          <w:color w:val="000000" w:themeColor="text1"/>
        </w:rPr>
      </w:pPr>
      <w:hyperlink r:id="rId18" w:anchor="Policy" w:history="1">
        <w:r w:rsidR="001B3968" w:rsidRPr="00D00462">
          <w:rPr>
            <w:rStyle w:val="Hyperlink"/>
            <w:rFonts w:ascii="Arial" w:hAnsi="Arial" w:cs="Arial"/>
          </w:rPr>
          <w:t>Transitions in Care</w:t>
        </w:r>
      </w:hyperlink>
    </w:p>
    <w:p w14:paraId="71D190CD" w14:textId="1A6AEDDC" w:rsidR="001B3968" w:rsidRPr="0067195A" w:rsidRDefault="0055025E" w:rsidP="0067195A">
      <w:pPr>
        <w:pStyle w:val="ListParagraph"/>
        <w:numPr>
          <w:ilvl w:val="0"/>
          <w:numId w:val="8"/>
        </w:numPr>
        <w:rPr>
          <w:rFonts w:ascii="Arial" w:hAnsi="Arial" w:cs="Arial"/>
          <w:color w:val="000000" w:themeColor="text1"/>
        </w:rPr>
      </w:pPr>
      <w:hyperlink r:id="rId19" w:history="1">
        <w:r w:rsidR="001B3968" w:rsidRPr="00D00462">
          <w:rPr>
            <w:rStyle w:val="Hyperlink"/>
            <w:rFonts w:ascii="Arial" w:hAnsi="Arial" w:cs="Arial"/>
          </w:rPr>
          <w:t xml:space="preserve">Guidebook for Managing Disruptive Physician </w:t>
        </w:r>
        <w:proofErr w:type="spellStart"/>
        <w:r w:rsidR="001B3968" w:rsidRPr="00D00462">
          <w:rPr>
            <w:rStyle w:val="Hyperlink"/>
            <w:rFonts w:ascii="Arial" w:hAnsi="Arial" w:cs="Arial"/>
          </w:rPr>
          <w:t>Behaviour</w:t>
        </w:r>
        <w:proofErr w:type="spellEnd"/>
      </w:hyperlink>
    </w:p>
    <w:sectPr w:rsidR="001B3968" w:rsidRPr="0067195A">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E6181" w14:textId="77777777" w:rsidR="0055025E" w:rsidRDefault="0055025E" w:rsidP="001B3968">
      <w:pPr>
        <w:spacing w:after="0" w:line="240" w:lineRule="auto"/>
      </w:pPr>
      <w:r>
        <w:separator/>
      </w:r>
    </w:p>
  </w:endnote>
  <w:endnote w:type="continuationSeparator" w:id="0">
    <w:p w14:paraId="0AF1275E" w14:textId="77777777" w:rsidR="0055025E" w:rsidRDefault="0055025E" w:rsidP="001B3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00000000" w:usb1="E9DFFFFF" w:usb2="0000003F" w:usb3="00000000" w:csb0="003F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0193817"/>
      <w:docPartObj>
        <w:docPartGallery w:val="Page Numbers (Bottom of Page)"/>
        <w:docPartUnique/>
      </w:docPartObj>
    </w:sdtPr>
    <w:sdtEndPr>
      <w:rPr>
        <w:noProof/>
      </w:rPr>
    </w:sdtEndPr>
    <w:sdtContent>
      <w:p w14:paraId="39EA3842" w14:textId="03F5CD38" w:rsidR="0067195A" w:rsidRDefault="0067195A">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3B8BDA20" w14:textId="77777777" w:rsidR="0067195A" w:rsidRDefault="00671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6FF62" w14:textId="77777777" w:rsidR="0055025E" w:rsidRDefault="0055025E" w:rsidP="001B3968">
      <w:pPr>
        <w:spacing w:after="0" w:line="240" w:lineRule="auto"/>
      </w:pPr>
      <w:r>
        <w:separator/>
      </w:r>
    </w:p>
  </w:footnote>
  <w:footnote w:type="continuationSeparator" w:id="0">
    <w:p w14:paraId="34F3184D" w14:textId="77777777" w:rsidR="0055025E" w:rsidRDefault="0055025E" w:rsidP="001B3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DFDF8" w14:textId="2599418C" w:rsidR="001B3968" w:rsidRDefault="001B3968">
    <w:pPr>
      <w:pStyle w:val="Header"/>
    </w:pPr>
    <w:r>
      <w:rPr>
        <w:noProof/>
        <w:lang w:val="en-CA" w:eastAsia="en-CA"/>
      </w:rPr>
      <w:drawing>
        <wp:inline distT="0" distB="0" distL="0" distR="0" wp14:anchorId="03745A66" wp14:editId="21BCB9EC">
          <wp:extent cx="2692400" cy="605790"/>
          <wp:effectExtent l="0" t="0" r="0" b="381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20782" cy="6121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E4FB1"/>
    <w:multiLevelType w:val="hybridMultilevel"/>
    <w:tmpl w:val="19B6A1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7E90AF5"/>
    <w:multiLevelType w:val="hybridMultilevel"/>
    <w:tmpl w:val="015C796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81C1801"/>
    <w:multiLevelType w:val="hybridMultilevel"/>
    <w:tmpl w:val="66C03C08"/>
    <w:lvl w:ilvl="0" w:tplc="7E0C36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437F4F"/>
    <w:multiLevelType w:val="hybridMultilevel"/>
    <w:tmpl w:val="9D180C9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2304E56"/>
    <w:multiLevelType w:val="hybridMultilevel"/>
    <w:tmpl w:val="06DE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65507"/>
    <w:multiLevelType w:val="hybridMultilevel"/>
    <w:tmpl w:val="501475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B05053"/>
    <w:multiLevelType w:val="hybridMultilevel"/>
    <w:tmpl w:val="878207D8"/>
    <w:lvl w:ilvl="0" w:tplc="3000D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0794A"/>
    <w:multiLevelType w:val="hybridMultilevel"/>
    <w:tmpl w:val="AFDE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32D69"/>
    <w:multiLevelType w:val="hybridMultilevel"/>
    <w:tmpl w:val="C7521B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3A0321E"/>
    <w:multiLevelType w:val="hybridMultilevel"/>
    <w:tmpl w:val="B1EA10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7D74C47"/>
    <w:multiLevelType w:val="hybridMultilevel"/>
    <w:tmpl w:val="F3BC0A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83B47B8"/>
    <w:multiLevelType w:val="hybridMultilevel"/>
    <w:tmpl w:val="5DA29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004B4F"/>
    <w:multiLevelType w:val="hybridMultilevel"/>
    <w:tmpl w:val="A41C449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D46315F"/>
    <w:multiLevelType w:val="hybridMultilevel"/>
    <w:tmpl w:val="D1D678C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14D2C14"/>
    <w:multiLevelType w:val="hybridMultilevel"/>
    <w:tmpl w:val="75363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875F2A"/>
    <w:multiLevelType w:val="hybridMultilevel"/>
    <w:tmpl w:val="D654D59A"/>
    <w:lvl w:ilvl="0" w:tplc="36E451B6">
      <w:start w:val="1"/>
      <w:numFmt w:val="upperLetter"/>
      <w:lvlText w:val="%1."/>
      <w:lvlJc w:val="left"/>
      <w:pPr>
        <w:ind w:left="360" w:hanging="360"/>
      </w:pPr>
      <w:rPr>
        <w:rFonts w:hint="default"/>
        <w:u w:val="singl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5EEA6F1D"/>
    <w:multiLevelType w:val="hybridMultilevel"/>
    <w:tmpl w:val="EEF832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A796843"/>
    <w:multiLevelType w:val="hybridMultilevel"/>
    <w:tmpl w:val="2340D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3C93F34"/>
    <w:multiLevelType w:val="hybridMultilevel"/>
    <w:tmpl w:val="FF68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9D0A90"/>
    <w:multiLevelType w:val="hybridMultilevel"/>
    <w:tmpl w:val="F51CBF5E"/>
    <w:lvl w:ilvl="0" w:tplc="FDD45D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84009D"/>
    <w:multiLevelType w:val="multilevel"/>
    <w:tmpl w:val="59FA4D70"/>
    <w:lvl w:ilvl="0">
      <w:start w:val="1"/>
      <w:numFmt w:val="decimal"/>
      <w:lvlText w:val="%1)"/>
      <w:lvlJc w:val="left"/>
      <w:pPr>
        <w:ind w:left="360" w:hanging="360"/>
      </w:pPr>
    </w:lvl>
    <w:lvl w:ilvl="1">
      <w:start w:val="1"/>
      <w:numFmt w:val="decimal"/>
      <w:lvlText w:val="%2."/>
      <w:lvlJc w:val="left"/>
      <w:pPr>
        <w:ind w:left="720" w:hanging="360"/>
      </w:pPr>
      <w:rPr>
        <w:rFonts w:ascii="Calibri" w:eastAsia="Arial Unicode MS" w:hAnsi="Calibri" w:cs="Calibri"/>
      </w:rPr>
    </w:lvl>
    <w:lvl w:ilvl="2">
      <w:start w:val="1"/>
      <w:numFmt w:val="lowerLetter"/>
      <w:lvlText w:val="%3)"/>
      <w:lvlJc w:val="left"/>
      <w:pPr>
        <w:ind w:left="1080" w:hanging="360"/>
      </w:pPr>
      <w:rPr>
        <w:rFonts w:ascii="Calibri" w:eastAsia="Arial Unicode MS" w:hAnsi="Calibri" w:cs="Calibr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3"/>
  </w:num>
  <w:num w:numId="3">
    <w:abstractNumId w:val="19"/>
  </w:num>
  <w:num w:numId="4">
    <w:abstractNumId w:val="6"/>
  </w:num>
  <w:num w:numId="5">
    <w:abstractNumId w:val="2"/>
  </w:num>
  <w:num w:numId="6">
    <w:abstractNumId w:val="11"/>
  </w:num>
  <w:num w:numId="7">
    <w:abstractNumId w:val="18"/>
  </w:num>
  <w:num w:numId="8">
    <w:abstractNumId w:val="14"/>
  </w:num>
  <w:num w:numId="9">
    <w:abstractNumId w:val="7"/>
  </w:num>
  <w:num w:numId="10">
    <w:abstractNumId w:val="0"/>
  </w:num>
  <w:num w:numId="11">
    <w:abstractNumId w:val="16"/>
  </w:num>
  <w:num w:numId="12">
    <w:abstractNumId w:val="15"/>
  </w:num>
  <w:num w:numId="13">
    <w:abstractNumId w:val="20"/>
  </w:num>
  <w:num w:numId="14">
    <w:abstractNumId w:val="3"/>
  </w:num>
  <w:num w:numId="15">
    <w:abstractNumId w:val="1"/>
  </w:num>
  <w:num w:numId="16">
    <w:abstractNumId w:val="9"/>
  </w:num>
  <w:num w:numId="17">
    <w:abstractNumId w:val="12"/>
  </w:num>
  <w:num w:numId="18">
    <w:abstractNumId w:val="5"/>
  </w:num>
  <w:num w:numId="19">
    <w:abstractNumId w:val="8"/>
  </w:num>
  <w:num w:numId="20">
    <w:abstractNumId w:val="1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968"/>
    <w:rsid w:val="001B3968"/>
    <w:rsid w:val="003D2EF7"/>
    <w:rsid w:val="004D2363"/>
    <w:rsid w:val="0055025E"/>
    <w:rsid w:val="006063E9"/>
    <w:rsid w:val="0067195A"/>
    <w:rsid w:val="00722739"/>
    <w:rsid w:val="007700A0"/>
    <w:rsid w:val="00874B40"/>
    <w:rsid w:val="0094409C"/>
    <w:rsid w:val="00A01B6F"/>
    <w:rsid w:val="00A5515B"/>
    <w:rsid w:val="00B14B0F"/>
    <w:rsid w:val="00B33A39"/>
    <w:rsid w:val="00B90C08"/>
    <w:rsid w:val="00CD31A2"/>
    <w:rsid w:val="00EC3625"/>
    <w:rsid w:val="00EC4A2F"/>
    <w:rsid w:val="00F960BC"/>
    <w:rsid w:val="00FC2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F76ED"/>
  <w15:chartTrackingRefBased/>
  <w15:docId w15:val="{3BC9C7D3-2E6D-4A29-96AE-C9E5CCBE2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9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9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968"/>
  </w:style>
  <w:style w:type="paragraph" w:styleId="Footer">
    <w:name w:val="footer"/>
    <w:basedOn w:val="Normal"/>
    <w:link w:val="FooterChar"/>
    <w:uiPriority w:val="99"/>
    <w:unhideWhenUsed/>
    <w:rsid w:val="001B39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968"/>
  </w:style>
  <w:style w:type="paragraph" w:styleId="ListParagraph">
    <w:name w:val="List Paragraph"/>
    <w:basedOn w:val="Normal"/>
    <w:qFormat/>
    <w:rsid w:val="001B3968"/>
    <w:pPr>
      <w:ind w:left="720"/>
      <w:contextualSpacing/>
    </w:pPr>
  </w:style>
  <w:style w:type="character" w:styleId="Hyperlink">
    <w:name w:val="Hyperlink"/>
    <w:basedOn w:val="DefaultParagraphFont"/>
    <w:uiPriority w:val="99"/>
    <w:unhideWhenUsed/>
    <w:rsid w:val="001B3968"/>
    <w:rPr>
      <w:color w:val="0563C1" w:themeColor="hyperlink"/>
      <w:u w:val="single"/>
    </w:rPr>
  </w:style>
  <w:style w:type="character" w:customStyle="1" w:styleId="UnresolvedMention">
    <w:name w:val="Unresolved Mention"/>
    <w:basedOn w:val="DefaultParagraphFont"/>
    <w:uiPriority w:val="99"/>
    <w:semiHidden/>
    <w:unhideWhenUsed/>
    <w:rsid w:val="00722739"/>
    <w:rPr>
      <w:color w:val="605E5C"/>
      <w:shd w:val="clear" w:color="auto" w:fill="E1DFDD"/>
    </w:rPr>
  </w:style>
  <w:style w:type="paragraph" w:customStyle="1" w:styleId="Default">
    <w:name w:val="Default"/>
    <w:rsid w:val="0094409C"/>
    <w:pPr>
      <w:autoSpaceDE w:val="0"/>
      <w:autoSpaceDN w:val="0"/>
      <w:adjustRightInd w:val="0"/>
      <w:spacing w:after="0" w:line="240" w:lineRule="auto"/>
    </w:pPr>
    <w:rPr>
      <w:rFonts w:ascii="Garamond" w:hAnsi="Garamond" w:cs="Garamond"/>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bme.pgme.utoronto.ca/wp-content/uploads/2017/07/02_Improving-Feedback-Handout_17July7_RS.pdf" TargetMode="External"/><Relationship Id="rId13" Type="http://schemas.openxmlformats.org/officeDocument/2006/relationships/hyperlink" Target="https://medicine.utoronto.ca/sites/default/files/standardsofprofessionalbehaviourformedicalclinicalfaculty-05132020.pdf" TargetMode="External"/><Relationship Id="rId18" Type="http://schemas.openxmlformats.org/officeDocument/2006/relationships/hyperlink" Target="https://www.cpso.on.ca/Physicians/Policies-Guidance/Policies/Transitions-in-Car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bmcmededuc.biomedcentral.com/track/pdf/10.1186/s12909-020-02280-5.pdf" TargetMode="External"/><Relationship Id="rId12" Type="http://schemas.openxmlformats.org/officeDocument/2006/relationships/hyperlink" Target="https://md.utoronto.ca/sites/default/files/student_mistreatment_protocol_2020-03-17.pdf" TargetMode="External"/><Relationship Id="rId17" Type="http://schemas.openxmlformats.org/officeDocument/2006/relationships/hyperlink" Target="https://www.cpso.on.ca/Physicians/Your-Practice/Quality-Management/CPGs-Other-Guidelines/Guidelines-for-College-Directed-Supervision" TargetMode="External"/><Relationship Id="rId2" Type="http://schemas.openxmlformats.org/officeDocument/2006/relationships/styles" Target="styles.xml"/><Relationship Id="rId16" Type="http://schemas.openxmlformats.org/officeDocument/2006/relationships/hyperlink" Target="https://www.cpso.on.ca/en/Physicians/Policies-Guidance/Policies/Professional-Responsibilities-in-Medical-Educatio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gme.utoronto.ca/wp-content/uploads/2021/02/PGME_MistreatmentGuideline_DRAFT_PGMEAC_Jan2021Send.pdf" TargetMode="External"/><Relationship Id="rId5" Type="http://schemas.openxmlformats.org/officeDocument/2006/relationships/footnotes" Target="footnotes.xml"/><Relationship Id="rId15" Type="http://schemas.openxmlformats.org/officeDocument/2006/relationships/hyperlink" Target="https://www.cpso.on.ca/en/Physicians/Policies-Guidance/Policies/Professional-Responsibilities-in-Medical-Education" TargetMode="External"/><Relationship Id="rId23" Type="http://schemas.openxmlformats.org/officeDocument/2006/relationships/theme" Target="theme/theme1.xml"/><Relationship Id="rId10" Type="http://schemas.openxmlformats.org/officeDocument/2006/relationships/hyperlink" Target="https://pg.postmd.utoronto.ca/wp-content/uploads/2019/11/PG-Wellness-Guidelines_Nov2019_PGMEAC_final.pdf" TargetMode="External"/><Relationship Id="rId19" Type="http://schemas.openxmlformats.org/officeDocument/2006/relationships/hyperlink" Target="https://www.cma.ca/physician-wellness-hub/resources/relationships/guidebook-for-managing-physician-behaviour" TargetMode="External"/><Relationship Id="rId4" Type="http://schemas.openxmlformats.org/officeDocument/2006/relationships/webSettings" Target="webSettings.xml"/><Relationship Id="rId9" Type="http://schemas.openxmlformats.org/officeDocument/2006/relationships/hyperlink" Target="https://journals.lww.com/academicmedicine/Fulltext/2021/02000/Six_Common_Pitfalls_of_Feedback_Conversations.54.aspx" TargetMode="External"/><Relationship Id="rId14" Type="http://schemas.openxmlformats.org/officeDocument/2006/relationships/hyperlink" Target="https://www.cpso.on.ca/Physicians/Policies-Guidance/Policies/Physician-Behaviour-in-the-Professional-Environme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2205</Words>
  <Characters>12572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Taryn Welch-Joslyn</dc:creator>
  <cp:keywords/>
  <dc:description/>
  <cp:lastModifiedBy>Kapral, Dr. Moira</cp:lastModifiedBy>
  <cp:revision>3</cp:revision>
  <dcterms:created xsi:type="dcterms:W3CDTF">2022-09-13T17:17:00Z</dcterms:created>
  <dcterms:modified xsi:type="dcterms:W3CDTF">2022-09-13T17:31:00Z</dcterms:modified>
</cp:coreProperties>
</file>